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242"/>
      </w:tblGrid>
      <w:tr w:rsidR="000476F1" w:rsidTr="000476F1">
        <w:tc>
          <w:tcPr>
            <w:tcW w:w="9242" w:type="dxa"/>
            <w:tcBorders>
              <w:top w:val="nil"/>
              <w:left w:val="nil"/>
              <w:bottom w:val="nil"/>
              <w:right w:val="nil"/>
            </w:tcBorders>
          </w:tcPr>
          <w:p w:rsidR="000476F1" w:rsidRDefault="000476F1" w:rsidP="000476F1">
            <w:pPr>
              <w:pBdr>
                <w:top w:val="single" w:sz="4" w:space="1" w:color="auto"/>
                <w:bottom w:val="single" w:sz="4" w:space="1" w:color="auto"/>
              </w:pBdr>
              <w:spacing w:before="120" w:after="120" w:line="276" w:lineRule="auto"/>
              <w:jc w:val="center"/>
              <w:rPr>
                <w:b/>
                <w:bCs/>
                <w:color w:val="CC0000"/>
                <w:lang w:val="en-GB"/>
              </w:rPr>
            </w:pPr>
            <w:r w:rsidRPr="007279B3">
              <w:rPr>
                <w:b/>
                <w:bCs/>
                <w:color w:val="CC0000"/>
                <w:lang w:val="en-GB"/>
              </w:rPr>
              <w:t>INDEPENDENT REGULATORY BOARD FOR AUDITORS</w:t>
            </w:r>
          </w:p>
          <w:p w:rsidR="000476F1" w:rsidRDefault="000476F1" w:rsidP="000476F1">
            <w:pPr>
              <w:pBdr>
                <w:top w:val="single" w:sz="4" w:space="1" w:color="auto"/>
                <w:bottom w:val="single" w:sz="4" w:space="1" w:color="auto"/>
              </w:pBdr>
              <w:spacing w:before="120" w:after="120" w:line="276" w:lineRule="auto"/>
              <w:jc w:val="center"/>
              <w:rPr>
                <w:b/>
                <w:bCs/>
                <w:color w:val="CC0000"/>
                <w:lang w:val="en-GB"/>
              </w:rPr>
            </w:pPr>
            <w:r>
              <w:rPr>
                <w:b/>
                <w:bCs/>
                <w:color w:val="CC0000"/>
                <w:lang w:val="en-GB"/>
              </w:rPr>
              <w:t>COMMITTEE FOR AUDITOR ETHICS</w:t>
            </w:r>
          </w:p>
          <w:p w:rsidR="000476F1" w:rsidRDefault="000476F1" w:rsidP="000476F1"/>
        </w:tc>
      </w:tr>
      <w:tr w:rsidR="000476F1" w:rsidTr="000476F1">
        <w:tc>
          <w:tcPr>
            <w:tcW w:w="9242" w:type="dxa"/>
            <w:tcBorders>
              <w:top w:val="nil"/>
              <w:left w:val="nil"/>
              <w:bottom w:val="nil"/>
              <w:right w:val="nil"/>
            </w:tcBorders>
          </w:tcPr>
          <w:p w:rsidR="000476F1" w:rsidRDefault="000476F1" w:rsidP="000476F1">
            <w:pPr>
              <w:spacing w:before="120" w:after="120" w:line="276" w:lineRule="auto"/>
              <w:ind w:right="111"/>
              <w:jc w:val="center"/>
              <w:rPr>
                <w:b/>
              </w:rPr>
            </w:pPr>
            <w:r>
              <w:rPr>
                <w:b/>
              </w:rPr>
              <w:t xml:space="preserve">Final Amendments to the IRBA Code </w:t>
            </w:r>
            <w:bookmarkStart w:id="0" w:name="_GoBack"/>
            <w:bookmarkEnd w:id="0"/>
            <w:r>
              <w:rPr>
                <w:b/>
              </w:rPr>
              <w:t>Addressing Long Association of Personnel with an Audit o</w:t>
            </w:r>
            <w:r w:rsidRPr="005A503F">
              <w:rPr>
                <w:b/>
              </w:rPr>
              <w:t>r Assurance Client</w:t>
            </w:r>
          </w:p>
          <w:p w:rsidR="000476F1" w:rsidRDefault="000476F1" w:rsidP="000476F1">
            <w:pPr>
              <w:spacing w:before="120" w:after="120" w:line="276" w:lineRule="auto"/>
              <w:ind w:right="111"/>
              <w:jc w:val="center"/>
              <w:rPr>
                <w:lang w:val="en-GB"/>
              </w:rPr>
            </w:pPr>
            <w:r>
              <w:rPr>
                <w:lang w:val="en-GB"/>
              </w:rPr>
              <w:t>Johannesburg / 30 January 2018</w:t>
            </w:r>
          </w:p>
          <w:p w:rsidR="000476F1" w:rsidRDefault="000476F1" w:rsidP="000476F1">
            <w:pPr>
              <w:spacing w:before="120" w:after="120" w:line="276" w:lineRule="auto"/>
              <w:ind w:right="111"/>
              <w:jc w:val="both"/>
              <w:rPr>
                <w:lang w:val="en-GB"/>
              </w:rPr>
            </w:pPr>
          </w:p>
          <w:p w:rsidR="000476F1" w:rsidRDefault="000476F1" w:rsidP="000476F1">
            <w:pPr>
              <w:keepNext/>
              <w:keepLines/>
              <w:tabs>
                <w:tab w:val="left" w:pos="9326"/>
              </w:tabs>
              <w:spacing w:after="120" w:line="276" w:lineRule="auto"/>
              <w:ind w:right="111"/>
              <w:jc w:val="both"/>
            </w:pPr>
            <w:r>
              <w:t>The Independent Regulatory Board for Auditors (IRBA) draws the attention of all registered auditors to changes to the IRBA Code of Professional Conduct (IRBA Code) for Registered Auditors addressing Long Association of Personnel with an Audit or Assurance Client</w:t>
            </w:r>
            <w:r w:rsidRPr="008033F4">
              <w:t>.</w:t>
            </w:r>
          </w:p>
          <w:p w:rsidR="000476F1" w:rsidRDefault="000476F1" w:rsidP="000476F1">
            <w:pPr>
              <w:autoSpaceDE w:val="0"/>
              <w:autoSpaceDN w:val="0"/>
              <w:adjustRightInd w:val="0"/>
              <w:spacing w:after="120" w:line="276" w:lineRule="auto"/>
              <w:ind w:right="111"/>
              <w:jc w:val="both"/>
            </w:pPr>
            <w:r w:rsidRPr="008033F4">
              <w:t>The IRBA adopted the amendments made to the International Ethics Standards Board for Accountants</w:t>
            </w:r>
            <w:r>
              <w:t>'</w:t>
            </w:r>
            <w:r w:rsidRPr="008033F4">
              <w:t xml:space="preserve"> (IESBA</w:t>
            </w:r>
            <w:r>
              <w:t>)</w:t>
            </w:r>
            <w:r w:rsidRPr="008033F4">
              <w:t xml:space="preserve"> Code of Ethics for Professional Accountants (IESBA Code), iss</w:t>
            </w:r>
            <w:r>
              <w:t>ued during 2017,</w:t>
            </w:r>
            <w:r w:rsidRPr="008033F4">
              <w:t xml:space="preserve"> following the issue of proposed amendments on exposure in South Africa on 10 February 2016 for public comment (Board Notice 2 of 2016).</w:t>
            </w:r>
          </w:p>
          <w:p w:rsidR="000476F1" w:rsidRPr="001228AA" w:rsidRDefault="000476F1" w:rsidP="000476F1">
            <w:pPr>
              <w:spacing w:before="120" w:after="120" w:line="276" w:lineRule="auto"/>
              <w:ind w:right="111"/>
              <w:jc w:val="both"/>
            </w:pPr>
            <w:r w:rsidRPr="001228AA">
              <w:t>The amendments to the IRBA Code relating to Long Association of Personnel with an Audit or Assurance Client resulted in the following main changes:</w:t>
            </w:r>
          </w:p>
          <w:p w:rsidR="000476F1" w:rsidRPr="00080C64" w:rsidRDefault="000476F1" w:rsidP="000476F1">
            <w:pPr>
              <w:pStyle w:val="ListParagraph"/>
              <w:numPr>
                <w:ilvl w:val="0"/>
                <w:numId w:val="1"/>
              </w:numPr>
              <w:spacing w:after="120" w:line="271" w:lineRule="auto"/>
              <w:ind w:left="720" w:right="111"/>
              <w:contextualSpacing w:val="0"/>
              <w:jc w:val="both"/>
              <w:rPr>
                <w:rFonts w:ascii="Arial" w:hAnsi="Arial" w:cs="Arial"/>
                <w:sz w:val="22"/>
                <w:szCs w:val="22"/>
                <w:lang w:val="en-US"/>
              </w:rPr>
            </w:pPr>
            <w:r w:rsidRPr="00080C64">
              <w:rPr>
                <w:rFonts w:ascii="Arial" w:hAnsi="Arial" w:cs="Arial"/>
                <w:sz w:val="22"/>
                <w:szCs w:val="22"/>
                <w:lang w:val="en-US"/>
              </w:rPr>
              <w:t>Strengthening the general provisions that apply to all audits and assurance engagements with respect to the threa</w:t>
            </w:r>
            <w:r>
              <w:rPr>
                <w:rFonts w:ascii="Arial" w:hAnsi="Arial" w:cs="Arial"/>
                <w:sz w:val="22"/>
                <w:szCs w:val="22"/>
                <w:lang w:val="en-US"/>
              </w:rPr>
              <w:t>ts created by long association;</w:t>
            </w:r>
          </w:p>
          <w:p w:rsidR="000476F1" w:rsidRPr="001228AA" w:rsidRDefault="000476F1" w:rsidP="000476F1">
            <w:pPr>
              <w:pStyle w:val="ListParagraph"/>
              <w:numPr>
                <w:ilvl w:val="0"/>
                <w:numId w:val="1"/>
              </w:numPr>
              <w:spacing w:after="120" w:line="271" w:lineRule="auto"/>
              <w:ind w:left="720" w:right="111"/>
              <w:contextualSpacing w:val="0"/>
              <w:jc w:val="both"/>
              <w:rPr>
                <w:rFonts w:ascii="Arial" w:hAnsi="Arial" w:cs="Arial"/>
                <w:sz w:val="22"/>
                <w:szCs w:val="22"/>
                <w:lang w:val="en-US"/>
              </w:rPr>
            </w:pPr>
            <w:r>
              <w:rPr>
                <w:rFonts w:ascii="Arial" w:hAnsi="Arial" w:cs="Arial"/>
                <w:sz w:val="22"/>
                <w:szCs w:val="22"/>
                <w:lang w:val="en-US"/>
              </w:rPr>
              <w:t>Increasing the mandatory '</w:t>
            </w:r>
            <w:r w:rsidRPr="001228AA">
              <w:rPr>
                <w:rFonts w:ascii="Arial" w:hAnsi="Arial" w:cs="Arial"/>
                <w:sz w:val="22"/>
                <w:szCs w:val="22"/>
                <w:lang w:val="en-US"/>
              </w:rPr>
              <w:t>cooling-off</w:t>
            </w:r>
            <w:r>
              <w:rPr>
                <w:rFonts w:ascii="Arial" w:hAnsi="Arial" w:cs="Arial"/>
                <w:sz w:val="22"/>
                <w:szCs w:val="22"/>
                <w:lang w:val="en-US"/>
              </w:rPr>
              <w:t>'</w:t>
            </w:r>
            <w:r w:rsidRPr="001228AA">
              <w:rPr>
                <w:rFonts w:ascii="Arial" w:hAnsi="Arial" w:cs="Arial"/>
                <w:sz w:val="22"/>
                <w:szCs w:val="22"/>
                <w:lang w:val="en-US"/>
              </w:rPr>
              <w:t xml:space="preserve"> period for the engagement partner and </w:t>
            </w:r>
            <w:r w:rsidRPr="001228AA">
              <w:rPr>
                <w:rFonts w:ascii="Arial" w:hAnsi="Arial" w:cs="Arial"/>
                <w:color w:val="222222"/>
                <w:sz w:val="22"/>
                <w:szCs w:val="22"/>
                <w:shd w:val="clear" w:color="auto" w:fill="FFFFFF"/>
              </w:rPr>
              <w:t>Engagement Quality Control Review</w:t>
            </w:r>
            <w:r w:rsidRPr="001228AA">
              <w:rPr>
                <w:rFonts w:ascii="Arial" w:hAnsi="Arial" w:cs="Arial"/>
                <w:sz w:val="22"/>
                <w:szCs w:val="22"/>
                <w:lang w:val="en-US"/>
              </w:rPr>
              <w:t xml:space="preserve"> on the audit of an entity that is a public interest entity (PIE); and</w:t>
            </w:r>
          </w:p>
          <w:p w:rsidR="000476F1" w:rsidRPr="00080C64" w:rsidRDefault="000476F1" w:rsidP="000476F1">
            <w:pPr>
              <w:pStyle w:val="ListParagraph"/>
              <w:numPr>
                <w:ilvl w:val="0"/>
                <w:numId w:val="1"/>
              </w:numPr>
              <w:spacing w:after="120" w:line="271" w:lineRule="auto"/>
              <w:ind w:left="720" w:right="111"/>
              <w:contextualSpacing w:val="0"/>
              <w:jc w:val="both"/>
              <w:rPr>
                <w:rFonts w:ascii="Arial" w:hAnsi="Arial" w:cs="Arial"/>
                <w:sz w:val="22"/>
                <w:szCs w:val="22"/>
                <w:lang w:val="en-US"/>
              </w:rPr>
            </w:pPr>
            <w:r w:rsidRPr="00080C64">
              <w:rPr>
                <w:rFonts w:ascii="Arial" w:hAnsi="Arial" w:cs="Arial"/>
                <w:sz w:val="22"/>
                <w:szCs w:val="22"/>
                <w:lang w:val="en-US"/>
              </w:rPr>
              <w:t>Prohibiting consultation with respect to the audit client and audit engagement with a former key audit partner (KAP) during the cooling-off period.</w:t>
            </w:r>
          </w:p>
          <w:p w:rsidR="000476F1" w:rsidRDefault="000476F1" w:rsidP="000476F1">
            <w:pPr>
              <w:autoSpaceDE w:val="0"/>
              <w:autoSpaceDN w:val="0"/>
              <w:adjustRightInd w:val="0"/>
              <w:spacing w:after="120" w:line="276" w:lineRule="auto"/>
              <w:ind w:right="111"/>
              <w:jc w:val="both"/>
            </w:pPr>
            <w:r>
              <w:t xml:space="preserve">A Board Notice to be included in the Government Gazette will advise on the publication of the amendments to the IRBA </w:t>
            </w:r>
            <w:r w:rsidRPr="007615A9">
              <w:t>Code</w:t>
            </w:r>
            <w:r>
              <w:rPr>
                <w:i/>
              </w:rPr>
              <w:t xml:space="preserve"> </w:t>
            </w:r>
            <w:r>
              <w:t>pursuant to the provisions of Section 10(1)(a) of the Auditing Profession Act, 2005 (Act No. 26 of 2005).</w:t>
            </w:r>
          </w:p>
          <w:p w:rsidR="000476F1" w:rsidRDefault="000476F1" w:rsidP="000476F1">
            <w:pPr>
              <w:keepNext/>
              <w:keepLines/>
              <w:tabs>
                <w:tab w:val="left" w:pos="9326"/>
              </w:tabs>
              <w:spacing w:after="120" w:line="276" w:lineRule="auto"/>
              <w:ind w:right="111"/>
              <w:jc w:val="both"/>
            </w:pPr>
            <w:r>
              <w:t xml:space="preserve">The </w:t>
            </w:r>
            <w:r w:rsidRPr="001228AA">
              <w:t xml:space="preserve">IESBA </w:t>
            </w:r>
            <w:r>
              <w:t xml:space="preserve">has </w:t>
            </w:r>
            <w:r w:rsidRPr="001228AA">
              <w:t>issued</w:t>
            </w:r>
            <w:r>
              <w:t xml:space="preserve"> a</w:t>
            </w:r>
            <w:r w:rsidRPr="001228AA">
              <w:t xml:space="preserve"> </w:t>
            </w:r>
            <w:hyperlink r:id="rId5" w:history="1">
              <w:r w:rsidRPr="007B45F5">
                <w:rPr>
                  <w:rStyle w:val="Hyperlink"/>
                </w:rPr>
                <w:t>Staff Question and Answer on Long Association of Personnel with an Audit or Assurance Client</w:t>
              </w:r>
            </w:hyperlink>
            <w:r w:rsidRPr="001228AA">
              <w:t>.</w:t>
            </w:r>
            <w:r>
              <w:t xml:space="preserve"> While not an IRBA issued authoritative document,</w:t>
            </w:r>
            <w:r w:rsidRPr="001228AA">
              <w:t xml:space="preserve"> </w:t>
            </w:r>
            <w:r>
              <w:t>r</w:t>
            </w:r>
            <w:r w:rsidRPr="001228AA">
              <w:t>egistered</w:t>
            </w:r>
            <w:r>
              <w:t xml:space="preserve"> auditors may find this guidance helpful.</w:t>
            </w:r>
          </w:p>
          <w:p w:rsidR="000476F1" w:rsidRPr="005230B0" w:rsidRDefault="000476F1" w:rsidP="000476F1">
            <w:pPr>
              <w:autoSpaceDE w:val="0"/>
              <w:autoSpaceDN w:val="0"/>
              <w:adjustRightInd w:val="0"/>
              <w:spacing w:after="120" w:line="276" w:lineRule="auto"/>
              <w:ind w:right="111"/>
              <w:jc w:val="both"/>
            </w:pPr>
          </w:p>
          <w:p w:rsidR="000476F1" w:rsidRDefault="000476F1" w:rsidP="000476F1">
            <w:pPr>
              <w:pStyle w:val="FootnoteText"/>
              <w:spacing w:after="120" w:line="276" w:lineRule="auto"/>
              <w:ind w:right="111"/>
              <w:jc w:val="both"/>
              <w:rPr>
                <w:b/>
              </w:rPr>
            </w:pPr>
            <w:r>
              <w:rPr>
                <w:b/>
              </w:rPr>
              <w:t>Effective Date</w:t>
            </w:r>
          </w:p>
          <w:p w:rsidR="000476F1" w:rsidRPr="00C05F33" w:rsidRDefault="000476F1" w:rsidP="000476F1">
            <w:pPr>
              <w:pStyle w:val="BodyText"/>
              <w:spacing w:before="0" w:after="120" w:line="276" w:lineRule="auto"/>
              <w:ind w:left="0" w:right="111" w:firstLine="0"/>
              <w:jc w:val="both"/>
              <w:rPr>
                <w:rFonts w:cs="Arial"/>
                <w:sz w:val="22"/>
                <w:szCs w:val="22"/>
              </w:rPr>
            </w:pPr>
            <w:r>
              <w:rPr>
                <w:rFonts w:cs="Arial"/>
                <w:sz w:val="22"/>
                <w:szCs w:val="22"/>
              </w:rPr>
              <w:t>P</w:t>
            </w:r>
            <w:r w:rsidRPr="00C05F33">
              <w:rPr>
                <w:rFonts w:cs="Arial"/>
                <w:sz w:val="22"/>
                <w:szCs w:val="22"/>
              </w:rPr>
              <w:t>aragraphs</w:t>
            </w:r>
            <w:r w:rsidRPr="00C05F33">
              <w:rPr>
                <w:rFonts w:cs="Arial"/>
                <w:spacing w:val="33"/>
                <w:sz w:val="22"/>
                <w:szCs w:val="22"/>
              </w:rPr>
              <w:t xml:space="preserve"> </w:t>
            </w:r>
            <w:r w:rsidRPr="00C05F33">
              <w:rPr>
                <w:rFonts w:cs="Arial"/>
                <w:sz w:val="22"/>
                <w:szCs w:val="22"/>
              </w:rPr>
              <w:t>290.148</w:t>
            </w:r>
            <w:r>
              <w:rPr>
                <w:rFonts w:cs="Arial"/>
                <w:sz w:val="22"/>
                <w:szCs w:val="22"/>
              </w:rPr>
              <w:t>-</w:t>
            </w:r>
            <w:r w:rsidRPr="00C05F33">
              <w:rPr>
                <w:rFonts w:cs="Arial"/>
                <w:sz w:val="22"/>
                <w:szCs w:val="22"/>
              </w:rPr>
              <w:t>290.168</w:t>
            </w:r>
            <w:r>
              <w:rPr>
                <w:rFonts w:cs="Arial"/>
                <w:sz w:val="22"/>
                <w:szCs w:val="22"/>
              </w:rPr>
              <w:t xml:space="preserve"> of the IRBA Code</w:t>
            </w:r>
            <w:r w:rsidRPr="00C05F33">
              <w:rPr>
                <w:rFonts w:cs="Arial"/>
                <w:spacing w:val="34"/>
                <w:sz w:val="22"/>
                <w:szCs w:val="22"/>
              </w:rPr>
              <w:t xml:space="preserve"> </w:t>
            </w:r>
            <w:r w:rsidRPr="00C05F33">
              <w:rPr>
                <w:rFonts w:cs="Arial"/>
                <w:sz w:val="22"/>
                <w:szCs w:val="22"/>
              </w:rPr>
              <w:t>are</w:t>
            </w:r>
            <w:r w:rsidRPr="00C05F33">
              <w:rPr>
                <w:rFonts w:cs="Arial"/>
                <w:spacing w:val="32"/>
                <w:sz w:val="22"/>
                <w:szCs w:val="22"/>
              </w:rPr>
              <w:t xml:space="preserve"> </w:t>
            </w:r>
            <w:r w:rsidRPr="00C05F33">
              <w:rPr>
                <w:rFonts w:cs="Arial"/>
                <w:spacing w:val="-1"/>
                <w:sz w:val="22"/>
                <w:szCs w:val="22"/>
              </w:rPr>
              <w:t>effective</w:t>
            </w:r>
            <w:r w:rsidRPr="00C05F33">
              <w:rPr>
                <w:rFonts w:cs="Arial"/>
                <w:spacing w:val="33"/>
                <w:sz w:val="22"/>
                <w:szCs w:val="22"/>
              </w:rPr>
              <w:t xml:space="preserve"> </w:t>
            </w:r>
            <w:r w:rsidRPr="00C05F33">
              <w:rPr>
                <w:rFonts w:cs="Arial"/>
                <w:sz w:val="22"/>
                <w:szCs w:val="22"/>
              </w:rPr>
              <w:t>for</w:t>
            </w:r>
            <w:r w:rsidRPr="00C05F33">
              <w:rPr>
                <w:rFonts w:cs="Arial"/>
                <w:spacing w:val="33"/>
                <w:sz w:val="22"/>
                <w:szCs w:val="22"/>
              </w:rPr>
              <w:t xml:space="preserve"> </w:t>
            </w:r>
            <w:r w:rsidRPr="00C05F33">
              <w:rPr>
                <w:rFonts w:cs="Arial"/>
                <w:spacing w:val="-1"/>
                <w:sz w:val="22"/>
                <w:szCs w:val="22"/>
              </w:rPr>
              <w:t>audits</w:t>
            </w:r>
            <w:r w:rsidRPr="00C05F33">
              <w:rPr>
                <w:rFonts w:cs="Arial"/>
                <w:spacing w:val="36"/>
                <w:sz w:val="22"/>
                <w:szCs w:val="22"/>
              </w:rPr>
              <w:t xml:space="preserve"> </w:t>
            </w:r>
            <w:r w:rsidRPr="00C05F33">
              <w:rPr>
                <w:rFonts w:cs="Arial"/>
                <w:spacing w:val="-1"/>
                <w:sz w:val="22"/>
                <w:szCs w:val="22"/>
              </w:rPr>
              <w:t>of</w:t>
            </w:r>
            <w:r w:rsidRPr="00C05F33">
              <w:rPr>
                <w:rFonts w:cs="Arial"/>
                <w:spacing w:val="76"/>
                <w:w w:val="99"/>
                <w:sz w:val="22"/>
                <w:szCs w:val="22"/>
              </w:rPr>
              <w:t xml:space="preserve"> </w:t>
            </w:r>
            <w:r w:rsidRPr="00C05F33">
              <w:rPr>
                <w:rFonts w:cs="Arial"/>
                <w:spacing w:val="-1"/>
                <w:sz w:val="22"/>
                <w:szCs w:val="22"/>
              </w:rPr>
              <w:t>financial</w:t>
            </w:r>
            <w:r w:rsidRPr="00C05F33">
              <w:rPr>
                <w:rFonts w:cs="Arial"/>
                <w:spacing w:val="-10"/>
                <w:sz w:val="22"/>
                <w:szCs w:val="22"/>
              </w:rPr>
              <w:t xml:space="preserve"> </w:t>
            </w:r>
            <w:r w:rsidRPr="00C05F33">
              <w:rPr>
                <w:rFonts w:cs="Arial"/>
                <w:sz w:val="22"/>
                <w:szCs w:val="22"/>
              </w:rPr>
              <w:t>statements</w:t>
            </w:r>
            <w:r w:rsidRPr="00C05F33">
              <w:rPr>
                <w:rFonts w:cs="Arial"/>
                <w:spacing w:val="-7"/>
                <w:sz w:val="22"/>
                <w:szCs w:val="22"/>
              </w:rPr>
              <w:t xml:space="preserve"> </w:t>
            </w:r>
            <w:r w:rsidRPr="00C05F33">
              <w:rPr>
                <w:rFonts w:cs="Arial"/>
                <w:sz w:val="22"/>
                <w:szCs w:val="22"/>
              </w:rPr>
              <w:t>for</w:t>
            </w:r>
            <w:r w:rsidRPr="00C05F33">
              <w:rPr>
                <w:rFonts w:cs="Arial"/>
                <w:spacing w:val="-8"/>
                <w:sz w:val="22"/>
                <w:szCs w:val="22"/>
              </w:rPr>
              <w:t xml:space="preserve"> </w:t>
            </w:r>
            <w:r w:rsidRPr="00C05F33">
              <w:rPr>
                <w:rFonts w:cs="Arial"/>
                <w:spacing w:val="-1"/>
                <w:sz w:val="22"/>
                <w:szCs w:val="22"/>
              </w:rPr>
              <w:t>periods</w:t>
            </w:r>
            <w:r w:rsidRPr="00C05F33">
              <w:rPr>
                <w:rFonts w:cs="Arial"/>
                <w:spacing w:val="-7"/>
                <w:sz w:val="22"/>
                <w:szCs w:val="22"/>
              </w:rPr>
              <w:t xml:space="preserve"> </w:t>
            </w:r>
            <w:r w:rsidRPr="00C05F33">
              <w:rPr>
                <w:rFonts w:cs="Arial"/>
                <w:spacing w:val="-1"/>
                <w:sz w:val="22"/>
                <w:szCs w:val="22"/>
              </w:rPr>
              <w:t>beginning</w:t>
            </w:r>
            <w:r w:rsidRPr="00C05F33">
              <w:rPr>
                <w:rFonts w:cs="Arial"/>
                <w:spacing w:val="-8"/>
                <w:sz w:val="22"/>
                <w:szCs w:val="22"/>
              </w:rPr>
              <w:t xml:space="preserve"> </w:t>
            </w:r>
            <w:r w:rsidRPr="00C05F33">
              <w:rPr>
                <w:rFonts w:cs="Arial"/>
                <w:spacing w:val="1"/>
                <w:sz w:val="22"/>
                <w:szCs w:val="22"/>
              </w:rPr>
              <w:t>on</w:t>
            </w:r>
            <w:r w:rsidRPr="00C05F33">
              <w:rPr>
                <w:rFonts w:cs="Arial"/>
                <w:spacing w:val="-9"/>
                <w:sz w:val="22"/>
                <w:szCs w:val="22"/>
              </w:rPr>
              <w:t xml:space="preserve"> </w:t>
            </w:r>
            <w:r w:rsidRPr="00C05F33">
              <w:rPr>
                <w:rFonts w:cs="Arial"/>
                <w:spacing w:val="-1"/>
                <w:sz w:val="22"/>
                <w:szCs w:val="22"/>
              </w:rPr>
              <w:t>or</w:t>
            </w:r>
            <w:r w:rsidRPr="00C05F33">
              <w:rPr>
                <w:rFonts w:cs="Arial"/>
                <w:spacing w:val="-8"/>
                <w:sz w:val="22"/>
                <w:szCs w:val="22"/>
              </w:rPr>
              <w:t xml:space="preserve"> </w:t>
            </w:r>
            <w:r w:rsidRPr="00C05F33">
              <w:rPr>
                <w:rFonts w:cs="Arial"/>
                <w:spacing w:val="-1"/>
                <w:sz w:val="22"/>
                <w:szCs w:val="22"/>
              </w:rPr>
              <w:t>after</w:t>
            </w:r>
            <w:r w:rsidRPr="00C05F33">
              <w:rPr>
                <w:rFonts w:cs="Arial"/>
                <w:spacing w:val="-8"/>
                <w:sz w:val="22"/>
                <w:szCs w:val="22"/>
              </w:rPr>
              <w:t xml:space="preserve"> </w:t>
            </w:r>
            <w:r>
              <w:rPr>
                <w:rFonts w:cs="Arial"/>
                <w:spacing w:val="-8"/>
                <w:sz w:val="22"/>
                <w:szCs w:val="22"/>
              </w:rPr>
              <w:t xml:space="preserve">15 </w:t>
            </w:r>
            <w:r w:rsidRPr="00C05F33">
              <w:rPr>
                <w:rFonts w:cs="Arial"/>
                <w:sz w:val="22"/>
                <w:szCs w:val="22"/>
              </w:rPr>
              <w:t>December</w:t>
            </w:r>
            <w:r w:rsidRPr="00C05F33">
              <w:rPr>
                <w:rFonts w:cs="Arial"/>
                <w:spacing w:val="-9"/>
                <w:sz w:val="22"/>
                <w:szCs w:val="22"/>
              </w:rPr>
              <w:t xml:space="preserve"> </w:t>
            </w:r>
            <w:r w:rsidRPr="00C05F33">
              <w:rPr>
                <w:rFonts w:cs="Arial"/>
                <w:spacing w:val="-1"/>
                <w:sz w:val="22"/>
                <w:szCs w:val="22"/>
              </w:rPr>
              <w:t>2018.</w:t>
            </w:r>
            <w:r w:rsidRPr="00C05F33">
              <w:rPr>
                <w:rFonts w:cs="Arial"/>
                <w:spacing w:val="-6"/>
                <w:sz w:val="22"/>
                <w:szCs w:val="22"/>
              </w:rPr>
              <w:t xml:space="preserve"> </w:t>
            </w:r>
            <w:r w:rsidRPr="00C05F33">
              <w:rPr>
                <w:rFonts w:cs="Arial"/>
                <w:spacing w:val="-1"/>
                <w:sz w:val="22"/>
                <w:szCs w:val="22"/>
              </w:rPr>
              <w:t>Paragraphs</w:t>
            </w:r>
            <w:r w:rsidRPr="00C05F33">
              <w:rPr>
                <w:rFonts w:cs="Arial"/>
                <w:spacing w:val="-7"/>
                <w:sz w:val="22"/>
                <w:szCs w:val="22"/>
              </w:rPr>
              <w:t xml:space="preserve"> </w:t>
            </w:r>
            <w:r w:rsidRPr="00C05F33">
              <w:rPr>
                <w:rFonts w:cs="Arial"/>
                <w:sz w:val="22"/>
                <w:szCs w:val="22"/>
              </w:rPr>
              <w:t>291.137</w:t>
            </w:r>
            <w:r>
              <w:rPr>
                <w:rFonts w:cs="Arial"/>
                <w:sz w:val="22"/>
                <w:szCs w:val="22"/>
              </w:rPr>
              <w:t>-</w:t>
            </w:r>
            <w:r w:rsidRPr="00C05F33">
              <w:rPr>
                <w:rFonts w:cs="Arial"/>
                <w:sz w:val="22"/>
                <w:szCs w:val="22"/>
              </w:rPr>
              <w:t>291.141</w:t>
            </w:r>
            <w:r>
              <w:rPr>
                <w:rFonts w:cs="Arial"/>
                <w:sz w:val="22"/>
                <w:szCs w:val="22"/>
              </w:rPr>
              <w:t xml:space="preserve"> of the IRBA Code, relating to other assurance engagements,</w:t>
            </w:r>
            <w:r w:rsidRPr="00C05F33">
              <w:rPr>
                <w:rFonts w:cs="Arial"/>
                <w:spacing w:val="79"/>
                <w:w w:val="99"/>
                <w:sz w:val="22"/>
                <w:szCs w:val="22"/>
              </w:rPr>
              <w:t xml:space="preserve"> </w:t>
            </w:r>
            <w:r w:rsidRPr="00C05F33">
              <w:rPr>
                <w:rFonts w:cs="Arial"/>
                <w:spacing w:val="-1"/>
                <w:sz w:val="22"/>
                <w:szCs w:val="22"/>
              </w:rPr>
              <w:t>are</w:t>
            </w:r>
            <w:r w:rsidRPr="00C05F33">
              <w:rPr>
                <w:rFonts w:cs="Arial"/>
                <w:spacing w:val="-7"/>
                <w:sz w:val="22"/>
                <w:szCs w:val="22"/>
              </w:rPr>
              <w:t xml:space="preserve"> </w:t>
            </w:r>
            <w:r w:rsidRPr="00C05F33">
              <w:rPr>
                <w:rFonts w:cs="Arial"/>
                <w:spacing w:val="-1"/>
                <w:sz w:val="22"/>
                <w:szCs w:val="22"/>
              </w:rPr>
              <w:t>effective</w:t>
            </w:r>
            <w:r w:rsidRPr="00C05F33">
              <w:rPr>
                <w:rFonts w:cs="Arial"/>
                <w:spacing w:val="-7"/>
                <w:sz w:val="22"/>
                <w:szCs w:val="22"/>
              </w:rPr>
              <w:t xml:space="preserve"> </w:t>
            </w:r>
            <w:r w:rsidRPr="00C05F33">
              <w:rPr>
                <w:rFonts w:cs="Arial"/>
                <w:spacing w:val="-1"/>
                <w:sz w:val="22"/>
                <w:szCs w:val="22"/>
              </w:rPr>
              <w:t>as</w:t>
            </w:r>
            <w:r w:rsidRPr="00C05F33">
              <w:rPr>
                <w:rFonts w:cs="Arial"/>
                <w:spacing w:val="-5"/>
                <w:sz w:val="22"/>
                <w:szCs w:val="22"/>
              </w:rPr>
              <w:t xml:space="preserve"> </w:t>
            </w:r>
            <w:r w:rsidRPr="00C05F33">
              <w:rPr>
                <w:rFonts w:cs="Arial"/>
                <w:spacing w:val="-1"/>
                <w:sz w:val="22"/>
                <w:szCs w:val="22"/>
              </w:rPr>
              <w:t>of</w:t>
            </w:r>
            <w:r w:rsidRPr="00C05F33">
              <w:rPr>
                <w:rFonts w:cs="Arial"/>
                <w:spacing w:val="-4"/>
                <w:sz w:val="22"/>
                <w:szCs w:val="22"/>
              </w:rPr>
              <w:t xml:space="preserve"> </w:t>
            </w:r>
            <w:r>
              <w:rPr>
                <w:rFonts w:cs="Arial"/>
                <w:spacing w:val="-4"/>
                <w:sz w:val="22"/>
                <w:szCs w:val="22"/>
              </w:rPr>
              <w:t xml:space="preserve">15 </w:t>
            </w:r>
            <w:r w:rsidRPr="00C05F33">
              <w:rPr>
                <w:rFonts w:cs="Arial"/>
                <w:sz w:val="22"/>
                <w:szCs w:val="22"/>
              </w:rPr>
              <w:t>December</w:t>
            </w:r>
            <w:r w:rsidRPr="00C05F33">
              <w:rPr>
                <w:rFonts w:cs="Arial"/>
                <w:spacing w:val="-4"/>
                <w:sz w:val="22"/>
                <w:szCs w:val="22"/>
              </w:rPr>
              <w:t xml:space="preserve"> </w:t>
            </w:r>
            <w:r w:rsidRPr="00C05F33">
              <w:rPr>
                <w:rFonts w:cs="Arial"/>
                <w:spacing w:val="-1"/>
                <w:sz w:val="22"/>
                <w:szCs w:val="22"/>
              </w:rPr>
              <w:t>2018.</w:t>
            </w:r>
            <w:r w:rsidRPr="00C05F33">
              <w:rPr>
                <w:rFonts w:cs="Arial"/>
                <w:spacing w:val="-4"/>
                <w:sz w:val="22"/>
                <w:szCs w:val="22"/>
              </w:rPr>
              <w:t xml:space="preserve"> </w:t>
            </w:r>
            <w:r w:rsidRPr="00C05F33">
              <w:rPr>
                <w:rFonts w:cs="Arial"/>
                <w:sz w:val="22"/>
                <w:szCs w:val="22"/>
              </w:rPr>
              <w:t>Early</w:t>
            </w:r>
            <w:r w:rsidRPr="00C05F33">
              <w:rPr>
                <w:rFonts w:cs="Arial"/>
                <w:spacing w:val="-9"/>
                <w:sz w:val="22"/>
                <w:szCs w:val="22"/>
              </w:rPr>
              <w:t xml:space="preserve"> </w:t>
            </w:r>
            <w:r w:rsidRPr="00C05F33">
              <w:rPr>
                <w:rFonts w:cs="Arial"/>
                <w:sz w:val="22"/>
                <w:szCs w:val="22"/>
              </w:rPr>
              <w:t>adoption</w:t>
            </w:r>
            <w:r w:rsidRPr="00C05F33">
              <w:rPr>
                <w:rFonts w:cs="Arial"/>
                <w:spacing w:val="-4"/>
                <w:sz w:val="22"/>
                <w:szCs w:val="22"/>
              </w:rPr>
              <w:t xml:space="preserve"> </w:t>
            </w:r>
            <w:r w:rsidRPr="00C05F33">
              <w:rPr>
                <w:rFonts w:cs="Arial"/>
                <w:spacing w:val="-1"/>
                <w:sz w:val="22"/>
                <w:szCs w:val="22"/>
              </w:rPr>
              <w:t>is</w:t>
            </w:r>
            <w:r w:rsidRPr="00C05F33">
              <w:rPr>
                <w:rFonts w:cs="Arial"/>
                <w:spacing w:val="-5"/>
                <w:sz w:val="22"/>
                <w:szCs w:val="22"/>
              </w:rPr>
              <w:t xml:space="preserve"> </w:t>
            </w:r>
            <w:r w:rsidRPr="00C05F33">
              <w:rPr>
                <w:rFonts w:cs="Arial"/>
                <w:spacing w:val="-1"/>
                <w:sz w:val="22"/>
                <w:szCs w:val="22"/>
              </w:rPr>
              <w:t>permitted.</w:t>
            </w:r>
            <w:r>
              <w:rPr>
                <w:rFonts w:cs="Arial"/>
                <w:spacing w:val="-1"/>
                <w:sz w:val="22"/>
                <w:szCs w:val="22"/>
              </w:rPr>
              <w:t xml:space="preserve"> Transitional provisions have been provided.</w:t>
            </w:r>
          </w:p>
          <w:p w:rsidR="000476F1" w:rsidRDefault="000476F1" w:rsidP="000476F1">
            <w:pPr>
              <w:spacing w:after="120" w:line="276" w:lineRule="auto"/>
              <w:ind w:right="111"/>
              <w:jc w:val="both"/>
            </w:pPr>
            <w:r>
              <w:t xml:space="preserve">The amendments to the IRBA Code may be downloaded from the </w:t>
            </w:r>
            <w:hyperlink r:id="rId6" w:history="1">
              <w:r w:rsidRPr="00C704B3">
                <w:rPr>
                  <w:rStyle w:val="Hyperlink"/>
                </w:rPr>
                <w:t>IRBA website</w:t>
              </w:r>
            </w:hyperlink>
            <w:r>
              <w:t>.</w:t>
            </w:r>
          </w:p>
          <w:p w:rsidR="000476F1" w:rsidRDefault="000476F1" w:rsidP="000476F1">
            <w:pPr>
              <w:pStyle w:val="NormalWeb"/>
              <w:spacing w:before="0" w:beforeAutospacing="0" w:after="120" w:afterAutospacing="0" w:line="276" w:lineRule="auto"/>
              <w:ind w:right="111"/>
              <w:jc w:val="both"/>
              <w:rPr>
                <w:rFonts w:ascii="Arial" w:hAnsi="Arial" w:cs="Arial"/>
                <w:sz w:val="22"/>
                <w:szCs w:val="22"/>
              </w:rPr>
            </w:pPr>
            <w:r>
              <w:rPr>
                <w:rFonts w:ascii="Arial" w:hAnsi="Arial" w:cs="Arial"/>
                <w:sz w:val="22"/>
                <w:szCs w:val="22"/>
              </w:rPr>
              <w:t xml:space="preserve">Should you have any further queries, please send an email to </w:t>
            </w:r>
            <w:hyperlink r:id="rId7" w:history="1">
              <w:r>
                <w:rPr>
                  <w:rStyle w:val="Hyperlink"/>
                  <w:rFonts w:ascii="Arial" w:hAnsi="Arial" w:cs="Arial"/>
                  <w:color w:val="3300CC"/>
                  <w:sz w:val="22"/>
                  <w:szCs w:val="22"/>
                </w:rPr>
                <w:t>standards@irba.co.za</w:t>
              </w:r>
            </w:hyperlink>
            <w:r>
              <w:rPr>
                <w:rFonts w:ascii="Arial" w:hAnsi="Arial" w:cs="Arial"/>
                <w:sz w:val="22"/>
                <w:szCs w:val="22"/>
              </w:rPr>
              <w:t>.</w:t>
            </w:r>
          </w:p>
          <w:p w:rsidR="000476F1" w:rsidRDefault="000476F1" w:rsidP="000476F1">
            <w:pPr>
              <w:pStyle w:val="NormalWeb"/>
              <w:spacing w:before="0" w:beforeAutospacing="0" w:after="120" w:afterAutospacing="0" w:line="276" w:lineRule="auto"/>
              <w:ind w:right="111"/>
              <w:jc w:val="both"/>
              <w:rPr>
                <w:rFonts w:ascii="Arial" w:hAnsi="Arial" w:cs="Arial"/>
                <w:sz w:val="22"/>
                <w:szCs w:val="22"/>
              </w:rPr>
            </w:pPr>
          </w:p>
          <w:p w:rsidR="000476F1" w:rsidRPr="009F6234" w:rsidRDefault="000476F1" w:rsidP="000476F1">
            <w:pPr>
              <w:pStyle w:val="FootnoteText"/>
              <w:spacing w:after="120" w:line="276" w:lineRule="auto"/>
              <w:ind w:right="111"/>
              <w:jc w:val="both"/>
              <w:rPr>
                <w:b/>
              </w:rPr>
            </w:pPr>
            <w:r w:rsidRPr="009F6234">
              <w:rPr>
                <w:b/>
              </w:rPr>
              <w:t>The IRBA Code of Professional Conduct and the South African Companies Act</w:t>
            </w:r>
            <w:r>
              <w:rPr>
                <w:b/>
              </w:rPr>
              <w:t>, 2008 (Act 71 of 2008)</w:t>
            </w:r>
          </w:p>
          <w:p w:rsidR="000476F1" w:rsidRPr="00C05F33" w:rsidRDefault="000476F1" w:rsidP="000476F1">
            <w:pPr>
              <w:pStyle w:val="BodyText"/>
              <w:spacing w:before="0" w:after="120" w:line="276" w:lineRule="auto"/>
              <w:ind w:left="0" w:right="111" w:firstLine="0"/>
              <w:jc w:val="both"/>
              <w:rPr>
                <w:rFonts w:cs="Arial"/>
                <w:sz w:val="22"/>
                <w:szCs w:val="22"/>
              </w:rPr>
            </w:pPr>
            <w:r w:rsidRPr="008033F4">
              <w:rPr>
                <w:rFonts w:cs="Arial"/>
                <w:sz w:val="22"/>
                <w:szCs w:val="22"/>
                <w:lang w:val="en-GB"/>
              </w:rPr>
              <w:t>Registered auditors are advised to consider</w:t>
            </w:r>
            <w:r>
              <w:rPr>
                <w:rFonts w:cs="Arial"/>
                <w:sz w:val="22"/>
                <w:szCs w:val="22"/>
                <w:lang w:val="en-GB"/>
              </w:rPr>
              <w:t xml:space="preserve"> Section 92 of the South African Companies Act, 2008 (Act 71 of 2008), when reading paragraph 290.163 of the IRBA Code, which relates to a </w:t>
            </w:r>
            <w:r w:rsidRPr="009E3EDD">
              <w:rPr>
                <w:rFonts w:cs="Arial"/>
                <w:i/>
                <w:spacing w:val="-1"/>
                <w:sz w:val="22"/>
                <w:szCs w:val="22"/>
              </w:rPr>
              <w:t>Position</w:t>
            </w:r>
            <w:r w:rsidRPr="009E3EDD">
              <w:rPr>
                <w:rFonts w:cs="Arial"/>
                <w:i/>
                <w:spacing w:val="-4"/>
                <w:sz w:val="22"/>
                <w:szCs w:val="22"/>
              </w:rPr>
              <w:t xml:space="preserve"> </w:t>
            </w:r>
            <w:r w:rsidRPr="009E3EDD">
              <w:rPr>
                <w:rFonts w:cs="Arial"/>
                <w:i/>
                <w:spacing w:val="-1"/>
                <w:sz w:val="22"/>
                <w:szCs w:val="22"/>
              </w:rPr>
              <w:t>where</w:t>
            </w:r>
            <w:r w:rsidRPr="009E3EDD">
              <w:rPr>
                <w:rFonts w:cs="Arial"/>
                <w:i/>
                <w:spacing w:val="-8"/>
                <w:sz w:val="22"/>
                <w:szCs w:val="22"/>
              </w:rPr>
              <w:t xml:space="preserve"> </w:t>
            </w:r>
            <w:r>
              <w:rPr>
                <w:rFonts w:cs="Arial"/>
                <w:i/>
                <w:spacing w:val="-8"/>
                <w:sz w:val="22"/>
                <w:szCs w:val="22"/>
              </w:rPr>
              <w:t xml:space="preserve">a </w:t>
            </w:r>
            <w:r w:rsidRPr="009E3EDD">
              <w:rPr>
                <w:rFonts w:cs="Arial"/>
                <w:i/>
                <w:spacing w:val="-1"/>
                <w:sz w:val="22"/>
                <w:szCs w:val="22"/>
              </w:rPr>
              <w:t>Shorter</w:t>
            </w:r>
            <w:r w:rsidRPr="009E3EDD">
              <w:rPr>
                <w:rFonts w:cs="Arial"/>
                <w:i/>
                <w:spacing w:val="-6"/>
                <w:sz w:val="22"/>
                <w:szCs w:val="22"/>
              </w:rPr>
              <w:t xml:space="preserve"> </w:t>
            </w:r>
            <w:r w:rsidRPr="009E3EDD">
              <w:rPr>
                <w:rFonts w:cs="Arial"/>
                <w:i/>
                <w:spacing w:val="-1"/>
                <w:sz w:val="22"/>
                <w:szCs w:val="22"/>
              </w:rPr>
              <w:t>Cooling-off</w:t>
            </w:r>
            <w:r w:rsidRPr="009E3EDD">
              <w:rPr>
                <w:rFonts w:cs="Arial"/>
                <w:i/>
                <w:spacing w:val="-5"/>
                <w:sz w:val="22"/>
                <w:szCs w:val="22"/>
              </w:rPr>
              <w:t xml:space="preserve"> </w:t>
            </w:r>
            <w:r w:rsidRPr="009E3EDD">
              <w:rPr>
                <w:rFonts w:cs="Arial"/>
                <w:i/>
                <w:spacing w:val="-1"/>
                <w:sz w:val="22"/>
                <w:szCs w:val="22"/>
              </w:rPr>
              <w:t>Period</w:t>
            </w:r>
            <w:r w:rsidRPr="009E3EDD">
              <w:rPr>
                <w:rFonts w:cs="Arial"/>
                <w:i/>
                <w:spacing w:val="-8"/>
                <w:sz w:val="22"/>
                <w:szCs w:val="22"/>
              </w:rPr>
              <w:t xml:space="preserve"> </w:t>
            </w:r>
            <w:r w:rsidRPr="009E3EDD">
              <w:rPr>
                <w:rFonts w:cs="Arial"/>
                <w:i/>
                <w:spacing w:val="-1"/>
                <w:sz w:val="22"/>
                <w:szCs w:val="22"/>
              </w:rPr>
              <w:t>is</w:t>
            </w:r>
            <w:r w:rsidRPr="009E3EDD">
              <w:rPr>
                <w:rFonts w:cs="Arial"/>
                <w:i/>
                <w:spacing w:val="-4"/>
                <w:sz w:val="22"/>
                <w:szCs w:val="22"/>
              </w:rPr>
              <w:t xml:space="preserve"> </w:t>
            </w:r>
            <w:r w:rsidRPr="009E3EDD">
              <w:rPr>
                <w:rFonts w:cs="Arial"/>
                <w:i/>
                <w:sz w:val="22"/>
                <w:szCs w:val="22"/>
              </w:rPr>
              <w:t>Established</w:t>
            </w:r>
            <w:r w:rsidRPr="009E3EDD">
              <w:rPr>
                <w:rFonts w:cs="Arial"/>
                <w:i/>
                <w:spacing w:val="-8"/>
                <w:sz w:val="22"/>
                <w:szCs w:val="22"/>
              </w:rPr>
              <w:t xml:space="preserve"> </w:t>
            </w:r>
            <w:r w:rsidRPr="009E3EDD">
              <w:rPr>
                <w:rFonts w:cs="Arial"/>
                <w:i/>
                <w:spacing w:val="2"/>
                <w:sz w:val="22"/>
                <w:szCs w:val="22"/>
              </w:rPr>
              <w:t>by</w:t>
            </w:r>
            <w:r w:rsidRPr="009E3EDD">
              <w:rPr>
                <w:rFonts w:cs="Arial"/>
                <w:i/>
                <w:spacing w:val="-10"/>
                <w:sz w:val="22"/>
                <w:szCs w:val="22"/>
              </w:rPr>
              <w:t xml:space="preserve"> </w:t>
            </w:r>
            <w:r w:rsidRPr="009E3EDD">
              <w:rPr>
                <w:rFonts w:cs="Arial"/>
                <w:i/>
                <w:sz w:val="22"/>
                <w:szCs w:val="22"/>
              </w:rPr>
              <w:t>Law</w:t>
            </w:r>
            <w:r w:rsidRPr="009E3EDD">
              <w:rPr>
                <w:rFonts w:cs="Arial"/>
                <w:i/>
                <w:spacing w:val="-7"/>
                <w:sz w:val="22"/>
                <w:szCs w:val="22"/>
              </w:rPr>
              <w:t xml:space="preserve"> </w:t>
            </w:r>
            <w:r w:rsidRPr="009E3EDD">
              <w:rPr>
                <w:rFonts w:cs="Arial"/>
                <w:i/>
                <w:spacing w:val="-1"/>
                <w:sz w:val="22"/>
                <w:szCs w:val="22"/>
              </w:rPr>
              <w:t>or</w:t>
            </w:r>
            <w:r w:rsidRPr="009E3EDD">
              <w:rPr>
                <w:rFonts w:cs="Arial"/>
                <w:i/>
                <w:spacing w:val="-6"/>
                <w:sz w:val="22"/>
                <w:szCs w:val="22"/>
              </w:rPr>
              <w:t xml:space="preserve"> </w:t>
            </w:r>
            <w:r w:rsidRPr="009E3EDD">
              <w:rPr>
                <w:rFonts w:cs="Arial"/>
                <w:i/>
                <w:spacing w:val="-1"/>
                <w:sz w:val="22"/>
                <w:szCs w:val="22"/>
              </w:rPr>
              <w:t>Regulation</w:t>
            </w:r>
            <w:r>
              <w:rPr>
                <w:rFonts w:cs="Arial"/>
                <w:i/>
                <w:spacing w:val="-1"/>
                <w:sz w:val="22"/>
                <w:szCs w:val="22"/>
              </w:rPr>
              <w:t>.</w:t>
            </w:r>
          </w:p>
          <w:p w:rsidR="000476F1" w:rsidRDefault="000476F1" w:rsidP="000476F1">
            <w:pPr>
              <w:spacing w:after="120" w:line="276" w:lineRule="auto"/>
              <w:jc w:val="both"/>
              <w:textAlignment w:val="top"/>
              <w:rPr>
                <w:b/>
                <w:lang w:val="en-GB"/>
              </w:rPr>
            </w:pPr>
          </w:p>
          <w:p w:rsidR="000476F1" w:rsidRPr="00394559" w:rsidRDefault="000476F1" w:rsidP="000476F1">
            <w:pPr>
              <w:spacing w:after="120" w:line="276" w:lineRule="auto"/>
              <w:jc w:val="both"/>
              <w:textAlignment w:val="top"/>
              <w:rPr>
                <w:b/>
              </w:rPr>
            </w:pPr>
            <w:r>
              <w:rPr>
                <w:b/>
                <w:lang w:val="en-GB"/>
              </w:rPr>
              <w:t>Imran Vanker</w:t>
            </w:r>
          </w:p>
          <w:p w:rsidR="000476F1" w:rsidRDefault="000476F1" w:rsidP="000476F1">
            <w:pPr>
              <w:spacing w:after="120" w:line="276" w:lineRule="auto"/>
              <w:jc w:val="both"/>
              <w:rPr>
                <w:b/>
                <w:lang w:val="en-GB"/>
              </w:rPr>
            </w:pPr>
            <w:r w:rsidRPr="007279B3">
              <w:rPr>
                <w:b/>
                <w:lang w:val="en-GB"/>
              </w:rPr>
              <w:t>Director: Standards</w:t>
            </w:r>
          </w:p>
          <w:p w:rsidR="000476F1" w:rsidRDefault="000476F1" w:rsidP="000476F1">
            <w:pPr>
              <w:jc w:val="both"/>
            </w:pPr>
          </w:p>
          <w:p w:rsidR="000476F1" w:rsidRPr="00325494" w:rsidRDefault="000476F1" w:rsidP="000476F1">
            <w:pPr>
              <w:spacing w:after="120" w:line="276" w:lineRule="auto"/>
              <w:jc w:val="both"/>
              <w:rPr>
                <w:b/>
                <w:i/>
                <w:noProof/>
                <w:sz w:val="20"/>
                <w:szCs w:val="20"/>
                <w:lang w:val="en-GB"/>
              </w:rPr>
            </w:pPr>
            <w:r w:rsidRPr="00325494">
              <w:rPr>
                <w:b/>
                <w:i/>
                <w:noProof/>
                <w:sz w:val="20"/>
                <w:szCs w:val="20"/>
                <w:lang w:val="en-GB"/>
              </w:rPr>
              <w:t>About the IRBA</w:t>
            </w:r>
          </w:p>
          <w:p w:rsidR="000476F1" w:rsidRDefault="000476F1" w:rsidP="000476F1">
            <w:pPr>
              <w:spacing w:after="120" w:line="276" w:lineRule="auto"/>
              <w:ind w:right="232"/>
              <w:jc w:val="both"/>
              <w:rPr>
                <w:i/>
                <w:noProof/>
                <w:sz w:val="18"/>
                <w:szCs w:val="18"/>
                <w:lang w:val="en-GB"/>
              </w:rPr>
            </w:pPr>
            <w:r w:rsidRPr="00AA450F">
              <w:rPr>
                <w:i/>
                <w:noProof/>
                <w:sz w:val="18"/>
                <w:szCs w:val="18"/>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r>
              <w:rPr>
                <w:i/>
                <w:noProof/>
                <w:sz w:val="18"/>
                <w:szCs w:val="18"/>
                <w:lang w:val="en-GB"/>
              </w:rPr>
              <w:t xml:space="preserve">. </w:t>
            </w:r>
          </w:p>
          <w:p w:rsidR="000476F1" w:rsidRDefault="000476F1" w:rsidP="000476F1">
            <w:pPr>
              <w:jc w:val="both"/>
            </w:pPr>
            <w:r w:rsidRPr="00186B29">
              <w:rPr>
                <w:bCs/>
                <w:i/>
                <w:iCs/>
                <w:sz w:val="18"/>
                <w:szCs w:val="18"/>
                <w:lang w:val="en-GB"/>
              </w:rPr>
              <w:t>The statutory responsibilit</w:t>
            </w:r>
            <w:r>
              <w:rPr>
                <w:bCs/>
                <w:i/>
                <w:iCs/>
                <w:sz w:val="18"/>
                <w:szCs w:val="18"/>
                <w:lang w:val="en-GB"/>
              </w:rPr>
              <w:t>ies</w:t>
            </w:r>
            <w:r w:rsidRPr="00186B29">
              <w:rPr>
                <w:bCs/>
                <w:i/>
                <w:iCs/>
                <w:sz w:val="18"/>
                <w:szCs w:val="18"/>
                <w:lang w:val="en-GB"/>
              </w:rPr>
              <w:t xml:space="preserve"> of the CFAE </w:t>
            </w:r>
            <w:r>
              <w:rPr>
                <w:bCs/>
                <w:i/>
                <w:iCs/>
                <w:sz w:val="18"/>
                <w:szCs w:val="18"/>
                <w:lang w:val="en-GB"/>
              </w:rPr>
              <w:t>are</w:t>
            </w:r>
            <w:r w:rsidRPr="00186B29">
              <w:rPr>
                <w:bCs/>
                <w:i/>
                <w:iCs/>
                <w:sz w:val="18"/>
                <w:szCs w:val="18"/>
                <w:lang w:val="en-GB"/>
              </w:rPr>
              <w:t xml:space="preserve"> to assist the IRBA to determine what constitutes improper conduct by registered auditors by developing rules and guidelines for professional ethics, including a code of professional conduct; to interact on any matter relating to its functions and powers with professional bodies and any other body or organ of state with an interest in the auditing profession; and to provide advice to registered auditors on matters of professional ethics and conduct</w:t>
            </w:r>
          </w:p>
        </w:tc>
      </w:tr>
    </w:tbl>
    <w:p w:rsidR="000476F1" w:rsidRDefault="000476F1" w:rsidP="000476F1">
      <w:pPr>
        <w:jc w:val="both"/>
      </w:pPr>
    </w:p>
    <w:sectPr w:rsidR="000476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C190B"/>
    <w:multiLevelType w:val="hybridMultilevel"/>
    <w:tmpl w:val="E5662CB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F1"/>
    <w:rsid w:val="000476F1"/>
    <w:rsid w:val="000B505A"/>
    <w:rsid w:val="00B653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74ADC-F21F-4B98-91BB-2121690D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04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476F1"/>
    <w:rPr>
      <w:rFonts w:cs="Times New Roman"/>
      <w:color w:val="BD392D"/>
      <w:u w:val="single"/>
      <w:effect w:val="none"/>
    </w:rPr>
  </w:style>
  <w:style w:type="paragraph" w:styleId="NormalWeb">
    <w:name w:val="Normal (Web)"/>
    <w:basedOn w:val="Normal"/>
    <w:uiPriority w:val="99"/>
    <w:rsid w:val="000476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476F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uiPriority w:val="99"/>
    <w:locked/>
    <w:rsid w:val="000476F1"/>
    <w:rPr>
      <w:lang w:val="en-GB" w:eastAsia="en-GB"/>
    </w:rPr>
  </w:style>
  <w:style w:type="paragraph" w:styleId="FootnoteText">
    <w:name w:val="footnote text"/>
    <w:aliases w:val="Footnote Text Char2,Footnote Text Char11,Footnote Text Char3,Footnote Text Char4,Footnote Text Char5,Footnote Text Char6,Footnote Text Char12,Footnote Text Char21,Footnote Text Char31,Footnote New,Ch"/>
    <w:basedOn w:val="Normal"/>
    <w:link w:val="FootnoteTextChar"/>
    <w:uiPriority w:val="99"/>
    <w:unhideWhenUsed/>
    <w:rsid w:val="000476F1"/>
    <w:pPr>
      <w:spacing w:after="0" w:line="240" w:lineRule="auto"/>
    </w:pPr>
    <w:rPr>
      <w:lang w:val="en-GB" w:eastAsia="en-GB"/>
    </w:rPr>
  </w:style>
  <w:style w:type="character" w:customStyle="1" w:styleId="FootnoteTextChar1">
    <w:name w:val="Footnote Text Char1"/>
    <w:basedOn w:val="DefaultParagraphFont"/>
    <w:uiPriority w:val="99"/>
    <w:semiHidden/>
    <w:rsid w:val="000476F1"/>
    <w:rPr>
      <w:sz w:val="20"/>
      <w:szCs w:val="20"/>
    </w:rPr>
  </w:style>
  <w:style w:type="paragraph" w:styleId="BodyText">
    <w:name w:val="Body Text"/>
    <w:basedOn w:val="Normal"/>
    <w:link w:val="BodyTextChar"/>
    <w:uiPriority w:val="1"/>
    <w:qFormat/>
    <w:rsid w:val="000476F1"/>
    <w:pPr>
      <w:widowControl w:val="0"/>
      <w:spacing w:before="122" w:after="0" w:line="240" w:lineRule="auto"/>
      <w:ind w:left="2280" w:hanging="547"/>
    </w:pPr>
    <w:rPr>
      <w:rFonts w:eastAsia="Arial" w:cstheme="minorBidi"/>
      <w:sz w:val="20"/>
      <w:szCs w:val="20"/>
      <w:lang w:val="en-US"/>
    </w:rPr>
  </w:style>
  <w:style w:type="character" w:customStyle="1" w:styleId="BodyTextChar">
    <w:name w:val="Body Text Char"/>
    <w:basedOn w:val="DefaultParagraphFont"/>
    <w:link w:val="BodyText"/>
    <w:uiPriority w:val="1"/>
    <w:rsid w:val="000476F1"/>
    <w:rPr>
      <w:rFonts w:eastAsia="Arial"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ndard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ba.co.za/guidance-to-ras/technical-guidance-for-auditors/ethics:-the-rules-and-the-code/the-rules-and-the-code" TargetMode="External"/><Relationship Id="rId5" Type="http://schemas.openxmlformats.org/officeDocument/2006/relationships/hyperlink" Target="https://www.ifac.org/system/files/publications/files/IESBA-Long-Association-Staff-QA-May-2017.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Fortuin</dc:creator>
  <cp:keywords/>
  <dc:description/>
  <cp:lastModifiedBy>Henriette Fortuin</cp:lastModifiedBy>
  <cp:revision>2</cp:revision>
  <dcterms:created xsi:type="dcterms:W3CDTF">2018-01-30T10:33:00Z</dcterms:created>
  <dcterms:modified xsi:type="dcterms:W3CDTF">2018-01-30T11:49:00Z</dcterms:modified>
</cp:coreProperties>
</file>