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36"/>
      </w:tblGrid>
      <w:tr w:rsidR="007E2C48" w14:paraId="2470D15F" w14:textId="77777777" w:rsidTr="007E2C48">
        <w:tc>
          <w:tcPr>
            <w:tcW w:w="9736" w:type="dxa"/>
          </w:tcPr>
          <w:p w14:paraId="1A67F60D" w14:textId="77777777" w:rsidR="007E2C48" w:rsidRDefault="007E2C48" w:rsidP="00742288">
            <w:pPr>
              <w:spacing w:before="120" w:after="120" w:line="312" w:lineRule="atLeast"/>
              <w:jc w:val="center"/>
              <w:rPr>
                <w:rFonts w:ascii="Arial" w:hAnsi="Arial" w:cs="Arial"/>
                <w:b/>
                <w:bCs/>
                <w:color w:val="CC0000"/>
                <w:lang w:val="en-ZA"/>
              </w:rPr>
            </w:pPr>
            <w:r w:rsidRPr="00623EEC">
              <w:rPr>
                <w:rFonts w:ascii="Arial" w:hAnsi="Arial" w:cs="Arial"/>
                <w:b/>
                <w:bCs/>
                <w:color w:val="CC0000"/>
                <w:lang w:val="en-ZA"/>
              </w:rPr>
              <w:t>INDEPENDENT REGULATORY BOARD FOR AUDITORS</w:t>
            </w:r>
          </w:p>
          <w:p w14:paraId="21571296" w14:textId="77777777" w:rsidR="007E2C48" w:rsidRDefault="007E2C48" w:rsidP="00742288">
            <w:pPr>
              <w:jc w:val="center"/>
              <w:rPr>
                <w:rFonts w:ascii="Arial" w:hAnsi="Arial" w:cs="Arial"/>
                <w:lang w:val="en-ZA"/>
              </w:rPr>
            </w:pPr>
            <w:r>
              <w:rPr>
                <w:rFonts w:ascii="Arial" w:hAnsi="Arial" w:cs="Arial"/>
                <w:b/>
                <w:bCs/>
                <w:color w:val="000000"/>
                <w:lang w:val="en-ZA"/>
              </w:rPr>
              <w:t>COMMITTEE FOR AUDITOR ETHICS</w:t>
            </w:r>
          </w:p>
        </w:tc>
      </w:tr>
    </w:tbl>
    <w:p w14:paraId="110A8017" w14:textId="77777777" w:rsidR="0094135C" w:rsidRPr="00B6563B" w:rsidRDefault="0094135C" w:rsidP="00960373">
      <w:pPr>
        <w:spacing w:line="360" w:lineRule="auto"/>
        <w:rPr>
          <w:rFonts w:ascii="Arial" w:hAnsi="Arial" w:cs="Arial"/>
          <w:lang w:val="en-ZA"/>
        </w:rPr>
      </w:pPr>
    </w:p>
    <w:tbl>
      <w:tblPr>
        <w:tblStyle w:val="TableGrid"/>
        <w:tblW w:w="0" w:type="auto"/>
        <w:tblLook w:val="04A0" w:firstRow="1" w:lastRow="0" w:firstColumn="1" w:lastColumn="0" w:noHBand="0" w:noVBand="1"/>
      </w:tblPr>
      <w:tblGrid>
        <w:gridCol w:w="9766"/>
      </w:tblGrid>
      <w:tr w:rsidR="0094135C" w:rsidRPr="00B6563B" w14:paraId="26B19A43" w14:textId="77777777" w:rsidTr="003B6079">
        <w:trPr>
          <w:trHeight w:val="12151"/>
        </w:trPr>
        <w:tc>
          <w:tcPr>
            <w:tcW w:w="9766" w:type="dxa"/>
            <w:tcBorders>
              <w:top w:val="nil"/>
              <w:left w:val="nil"/>
              <w:bottom w:val="nil"/>
              <w:right w:val="nil"/>
            </w:tcBorders>
          </w:tcPr>
          <w:p w14:paraId="4E33A78A" w14:textId="18B7B94B" w:rsidR="00A5780F" w:rsidRPr="00B6563B" w:rsidRDefault="004E25DD" w:rsidP="003B6079">
            <w:pPr>
              <w:spacing w:before="120" w:after="120" w:line="276" w:lineRule="auto"/>
              <w:jc w:val="center"/>
              <w:rPr>
                <w:rStyle w:val="Strong"/>
                <w:rFonts w:ascii="Arial" w:hAnsi="Arial" w:cs="Arial"/>
                <w:color w:val="000000"/>
                <w:sz w:val="22"/>
                <w:szCs w:val="22"/>
              </w:rPr>
            </w:pPr>
            <w:r>
              <w:rPr>
                <w:rStyle w:val="Strong"/>
                <w:rFonts w:ascii="Arial" w:hAnsi="Arial" w:cs="Arial"/>
                <w:color w:val="000000"/>
                <w:sz w:val="22"/>
                <w:szCs w:val="22"/>
              </w:rPr>
              <w:t>IESBA</w:t>
            </w:r>
            <w:r w:rsidR="00A5780F" w:rsidRPr="00B6563B">
              <w:rPr>
                <w:rStyle w:val="Strong"/>
                <w:rFonts w:ascii="Arial" w:hAnsi="Arial" w:cs="Arial"/>
                <w:color w:val="000000"/>
                <w:sz w:val="22"/>
                <w:szCs w:val="22"/>
              </w:rPr>
              <w:t xml:space="preserve"> Consults on Professional </w:t>
            </w:r>
            <w:proofErr w:type="spellStart"/>
            <w:r w:rsidR="00A5780F" w:rsidRPr="00B6563B">
              <w:rPr>
                <w:rStyle w:val="Strong"/>
                <w:rFonts w:ascii="Arial" w:hAnsi="Arial" w:cs="Arial"/>
                <w:color w:val="000000"/>
                <w:sz w:val="22"/>
                <w:szCs w:val="22"/>
              </w:rPr>
              <w:t>S</w:t>
            </w:r>
            <w:r>
              <w:rPr>
                <w:rStyle w:val="Strong"/>
                <w:rFonts w:ascii="Arial" w:hAnsi="Arial" w:cs="Arial"/>
                <w:color w:val="000000"/>
                <w:sz w:val="22"/>
                <w:szCs w:val="22"/>
              </w:rPr>
              <w:t>c</w:t>
            </w:r>
            <w:r w:rsidR="00A5780F" w:rsidRPr="00B6563B">
              <w:rPr>
                <w:rStyle w:val="Strong"/>
                <w:rFonts w:ascii="Arial" w:hAnsi="Arial" w:cs="Arial"/>
                <w:color w:val="000000"/>
                <w:sz w:val="22"/>
                <w:szCs w:val="22"/>
              </w:rPr>
              <w:t>epticism</w:t>
            </w:r>
            <w:proofErr w:type="spellEnd"/>
          </w:p>
          <w:p w14:paraId="792F5810" w14:textId="6BA9F9B5" w:rsidR="0094135C" w:rsidRDefault="0094135C" w:rsidP="003B6079">
            <w:pPr>
              <w:spacing w:before="120" w:after="120" w:line="276" w:lineRule="auto"/>
              <w:jc w:val="center"/>
              <w:rPr>
                <w:rFonts w:ascii="Arial" w:hAnsi="Arial" w:cs="Arial"/>
                <w:sz w:val="22"/>
                <w:szCs w:val="22"/>
                <w:lang w:val="en-ZA"/>
              </w:rPr>
            </w:pPr>
            <w:r w:rsidRPr="00B6563B">
              <w:rPr>
                <w:rFonts w:ascii="Arial" w:hAnsi="Arial" w:cs="Arial"/>
                <w:sz w:val="22"/>
                <w:szCs w:val="22"/>
                <w:lang w:val="en-ZA"/>
              </w:rPr>
              <w:t xml:space="preserve">Johannesburg / </w:t>
            </w:r>
            <w:r w:rsidR="00C369CB">
              <w:rPr>
                <w:rFonts w:ascii="Arial" w:hAnsi="Arial" w:cs="Arial"/>
                <w:sz w:val="22"/>
                <w:szCs w:val="22"/>
                <w:lang w:val="en-ZA"/>
              </w:rPr>
              <w:t>29</w:t>
            </w:r>
            <w:r w:rsidR="00A5780F" w:rsidRPr="00B6563B">
              <w:rPr>
                <w:rFonts w:ascii="Arial" w:hAnsi="Arial" w:cs="Arial"/>
                <w:sz w:val="22"/>
                <w:szCs w:val="22"/>
                <w:lang w:val="en-ZA"/>
              </w:rPr>
              <w:t xml:space="preserve"> May</w:t>
            </w:r>
            <w:r w:rsidR="009E76B0" w:rsidRPr="00B6563B">
              <w:rPr>
                <w:rFonts w:ascii="Arial" w:hAnsi="Arial" w:cs="Arial"/>
                <w:sz w:val="22"/>
                <w:szCs w:val="22"/>
                <w:lang w:val="en-ZA"/>
              </w:rPr>
              <w:t xml:space="preserve"> </w:t>
            </w:r>
            <w:r w:rsidR="00FC01D0" w:rsidRPr="00B6563B">
              <w:rPr>
                <w:rFonts w:ascii="Arial" w:hAnsi="Arial" w:cs="Arial"/>
                <w:sz w:val="22"/>
                <w:szCs w:val="22"/>
                <w:lang w:val="en-ZA"/>
              </w:rPr>
              <w:t>201</w:t>
            </w:r>
            <w:r w:rsidR="004744A7" w:rsidRPr="00B6563B">
              <w:rPr>
                <w:rFonts w:ascii="Arial" w:hAnsi="Arial" w:cs="Arial"/>
                <w:sz w:val="22"/>
                <w:szCs w:val="22"/>
                <w:lang w:val="en-ZA"/>
              </w:rPr>
              <w:t>8</w:t>
            </w:r>
          </w:p>
          <w:p w14:paraId="579A87DE" w14:textId="77777777" w:rsidR="00876DB6" w:rsidRPr="00B6563B" w:rsidRDefault="00876DB6" w:rsidP="003B6079">
            <w:pPr>
              <w:spacing w:before="120" w:after="120" w:line="276" w:lineRule="auto"/>
              <w:jc w:val="both"/>
              <w:rPr>
                <w:rFonts w:ascii="Arial" w:hAnsi="Arial" w:cs="Arial"/>
                <w:sz w:val="22"/>
                <w:szCs w:val="22"/>
                <w:lang w:val="en-ZA"/>
              </w:rPr>
            </w:pPr>
          </w:p>
          <w:p w14:paraId="20AAFE8C" w14:textId="765B2362" w:rsidR="00A5780F" w:rsidRPr="004574C4" w:rsidRDefault="00A5780F" w:rsidP="003B6079">
            <w:pPr>
              <w:pStyle w:val="NormalWeb"/>
              <w:shd w:val="clear" w:color="auto" w:fill="FFFFFF"/>
              <w:spacing w:before="0" w:beforeAutospacing="0" w:after="0" w:afterAutospacing="0" w:line="276" w:lineRule="auto"/>
              <w:jc w:val="both"/>
              <w:textAlignment w:val="top"/>
              <w:rPr>
                <w:rFonts w:ascii="Arial" w:hAnsi="Arial" w:cs="Arial"/>
                <w:sz w:val="22"/>
                <w:szCs w:val="22"/>
                <w:lang w:val="en-ZA"/>
              </w:rPr>
            </w:pPr>
            <w:r w:rsidRPr="004574C4">
              <w:rPr>
                <w:rFonts w:ascii="Arial" w:hAnsi="Arial" w:cs="Arial"/>
                <w:sz w:val="22"/>
                <w:szCs w:val="22"/>
              </w:rPr>
              <w:t xml:space="preserve">The International Ethics Standards Board for Accountants (IESBA) seeks public comment by </w:t>
            </w:r>
            <w:r w:rsidR="00876DB6" w:rsidRPr="004574C4">
              <w:rPr>
                <w:rFonts w:ascii="Arial" w:hAnsi="Arial" w:cs="Arial"/>
                <w:sz w:val="22"/>
                <w:szCs w:val="22"/>
              </w:rPr>
              <w:t>15</w:t>
            </w:r>
            <w:r w:rsidR="00083DCB" w:rsidRPr="004574C4">
              <w:rPr>
                <w:rFonts w:ascii="Arial" w:hAnsi="Arial" w:cs="Arial"/>
                <w:sz w:val="22"/>
                <w:szCs w:val="22"/>
              </w:rPr>
              <w:t> </w:t>
            </w:r>
            <w:r w:rsidRPr="004574C4">
              <w:rPr>
                <w:rFonts w:ascii="Arial" w:hAnsi="Arial" w:cs="Arial"/>
                <w:bCs/>
                <w:sz w:val="22"/>
                <w:szCs w:val="22"/>
              </w:rPr>
              <w:t>August</w:t>
            </w:r>
            <w:r w:rsidR="00876DB6" w:rsidRPr="004574C4">
              <w:rPr>
                <w:rFonts w:ascii="Arial" w:hAnsi="Arial" w:cs="Arial"/>
                <w:bCs/>
                <w:sz w:val="22"/>
                <w:szCs w:val="22"/>
              </w:rPr>
              <w:t xml:space="preserve"> </w:t>
            </w:r>
            <w:r w:rsidRPr="004574C4">
              <w:rPr>
                <w:rFonts w:ascii="Arial" w:hAnsi="Arial" w:cs="Arial"/>
                <w:bCs/>
                <w:sz w:val="22"/>
                <w:szCs w:val="22"/>
              </w:rPr>
              <w:t>2018</w:t>
            </w:r>
            <w:r w:rsidRPr="004574C4">
              <w:rPr>
                <w:rFonts w:ascii="Arial" w:hAnsi="Arial" w:cs="Arial"/>
                <w:sz w:val="22"/>
                <w:szCs w:val="22"/>
              </w:rPr>
              <w:t xml:space="preserve"> on its consultation paper, </w:t>
            </w:r>
            <w:hyperlink r:id="rId5" w:history="1">
              <w:r w:rsidRPr="004574C4">
                <w:rPr>
                  <w:rStyle w:val="Hyperlink"/>
                  <w:rFonts w:ascii="Arial" w:hAnsi="Arial" w:cs="Arial"/>
                  <w:i/>
                  <w:iCs/>
                  <w:sz w:val="22"/>
                  <w:szCs w:val="22"/>
                </w:rPr>
                <w:t>Professional</w:t>
              </w:r>
              <w:bookmarkStart w:id="0" w:name="_GoBack"/>
              <w:bookmarkEnd w:id="0"/>
              <w:r w:rsidRPr="004574C4">
                <w:rPr>
                  <w:rStyle w:val="Hyperlink"/>
                  <w:rFonts w:ascii="Arial" w:hAnsi="Arial" w:cs="Arial"/>
                  <w:i/>
                  <w:iCs/>
                  <w:sz w:val="22"/>
                  <w:szCs w:val="22"/>
                </w:rPr>
                <w:t xml:space="preserve"> S</w:t>
              </w:r>
              <w:r w:rsidR="00A038D3" w:rsidRPr="004574C4">
                <w:rPr>
                  <w:rStyle w:val="Hyperlink"/>
                  <w:rFonts w:ascii="Arial" w:hAnsi="Arial" w:cs="Arial"/>
                  <w:i/>
                  <w:iCs/>
                  <w:sz w:val="22"/>
                  <w:szCs w:val="22"/>
                </w:rPr>
                <w:t>k</w:t>
              </w:r>
              <w:r w:rsidRPr="004574C4">
                <w:rPr>
                  <w:rStyle w:val="Hyperlink"/>
                  <w:rFonts w:ascii="Arial" w:hAnsi="Arial" w:cs="Arial"/>
                  <w:i/>
                  <w:iCs/>
                  <w:sz w:val="22"/>
                  <w:szCs w:val="22"/>
                </w:rPr>
                <w:t>epticism</w:t>
              </w:r>
              <w:r w:rsidR="004574C4">
                <w:rPr>
                  <w:rStyle w:val="Hyperlink"/>
                  <w:rFonts w:ascii="Arial" w:hAnsi="Arial" w:cs="Arial"/>
                  <w:i/>
                  <w:iCs/>
                  <w:sz w:val="22"/>
                  <w:szCs w:val="22"/>
                </w:rPr>
                <w:t xml:space="preserve"> - </w:t>
              </w:r>
              <w:r w:rsidRPr="004574C4">
                <w:rPr>
                  <w:rStyle w:val="Hyperlink"/>
                  <w:rFonts w:ascii="Arial" w:hAnsi="Arial" w:cs="Arial"/>
                  <w:i/>
                  <w:iCs/>
                  <w:sz w:val="22"/>
                  <w:szCs w:val="22"/>
                </w:rPr>
                <w:t>Meeting Public Expectations</w:t>
              </w:r>
            </w:hyperlink>
            <w:r w:rsidR="00B6563B" w:rsidRPr="004574C4">
              <w:rPr>
                <w:rFonts w:ascii="Arial" w:hAnsi="Arial" w:cs="Arial"/>
                <w:sz w:val="22"/>
                <w:szCs w:val="22"/>
                <w:lang w:val="en-ZA"/>
              </w:rPr>
              <w:t>.</w:t>
            </w:r>
          </w:p>
          <w:p w14:paraId="43F46A82" w14:textId="77777777" w:rsidR="00B6563B" w:rsidRPr="004574C4" w:rsidRDefault="00B6563B" w:rsidP="003B6079">
            <w:pPr>
              <w:jc w:val="both"/>
              <w:rPr>
                <w:rFonts w:ascii="Arial" w:hAnsi="Arial" w:cs="Arial"/>
                <w:sz w:val="22"/>
                <w:szCs w:val="22"/>
              </w:rPr>
            </w:pPr>
          </w:p>
          <w:p w14:paraId="4EDFB8A1" w14:textId="425B4F0D" w:rsidR="00B6563B" w:rsidRPr="004574C4" w:rsidRDefault="00B6563B" w:rsidP="003B6079">
            <w:pPr>
              <w:jc w:val="both"/>
              <w:rPr>
                <w:rFonts w:ascii="Arial" w:hAnsi="Arial" w:cs="Arial"/>
                <w:sz w:val="22"/>
                <w:szCs w:val="22"/>
              </w:rPr>
            </w:pPr>
            <w:r w:rsidRPr="004574C4">
              <w:rPr>
                <w:rFonts w:ascii="Arial" w:hAnsi="Arial" w:cs="Arial"/>
                <w:sz w:val="22"/>
                <w:szCs w:val="22"/>
              </w:rPr>
              <w:t>In response to regulatory and other stakeholder feedback on the topic, the paper explores:</w:t>
            </w:r>
          </w:p>
          <w:p w14:paraId="4D7F4290" w14:textId="77777777" w:rsidR="00B6563B" w:rsidRPr="004574C4" w:rsidRDefault="00B6563B" w:rsidP="003B6079">
            <w:pPr>
              <w:jc w:val="both"/>
              <w:rPr>
                <w:rFonts w:ascii="Arial" w:hAnsi="Arial" w:cs="Arial"/>
                <w:sz w:val="22"/>
                <w:szCs w:val="22"/>
              </w:rPr>
            </w:pPr>
          </w:p>
          <w:p w14:paraId="3EB5EBC9" w14:textId="305C61C8" w:rsidR="00B6563B" w:rsidRPr="004574C4" w:rsidRDefault="00B6563B" w:rsidP="003B6079">
            <w:pPr>
              <w:pStyle w:val="ListParagraph"/>
              <w:numPr>
                <w:ilvl w:val="0"/>
                <w:numId w:val="6"/>
              </w:numPr>
              <w:jc w:val="both"/>
              <w:rPr>
                <w:rFonts w:ascii="Arial" w:hAnsi="Arial" w:cs="Arial"/>
                <w:sz w:val="22"/>
                <w:szCs w:val="22"/>
              </w:rPr>
            </w:pPr>
            <w:r w:rsidRPr="004574C4">
              <w:rPr>
                <w:rFonts w:ascii="Arial" w:hAnsi="Arial" w:cs="Arial"/>
                <w:sz w:val="22"/>
                <w:szCs w:val="22"/>
              </w:rPr>
              <w:t xml:space="preserve">The </w:t>
            </w:r>
            <w:proofErr w:type="spellStart"/>
            <w:r w:rsidR="00C369CB" w:rsidRPr="004574C4">
              <w:rPr>
                <w:rFonts w:ascii="Arial" w:hAnsi="Arial" w:cs="Arial"/>
                <w:sz w:val="22"/>
                <w:szCs w:val="22"/>
              </w:rPr>
              <w:t>behavio</w:t>
            </w:r>
            <w:r w:rsidR="00A038D3" w:rsidRPr="004574C4">
              <w:rPr>
                <w:rFonts w:ascii="Arial" w:hAnsi="Arial" w:cs="Arial"/>
                <w:sz w:val="22"/>
                <w:szCs w:val="22"/>
              </w:rPr>
              <w:t>u</w:t>
            </w:r>
            <w:r w:rsidR="00C369CB" w:rsidRPr="004574C4">
              <w:rPr>
                <w:rFonts w:ascii="Arial" w:hAnsi="Arial" w:cs="Arial"/>
                <w:sz w:val="22"/>
                <w:szCs w:val="22"/>
              </w:rPr>
              <w:t>ral</w:t>
            </w:r>
            <w:proofErr w:type="spellEnd"/>
            <w:r w:rsidRPr="004574C4">
              <w:rPr>
                <w:rFonts w:ascii="Arial" w:hAnsi="Arial" w:cs="Arial"/>
                <w:sz w:val="22"/>
                <w:szCs w:val="22"/>
              </w:rPr>
              <w:t xml:space="preserve"> characteristics comprised in professional </w:t>
            </w:r>
            <w:proofErr w:type="spellStart"/>
            <w:r w:rsidRPr="004574C4">
              <w:rPr>
                <w:rFonts w:ascii="Arial" w:hAnsi="Arial" w:cs="Arial"/>
                <w:sz w:val="22"/>
                <w:szCs w:val="22"/>
              </w:rPr>
              <w:t>s</w:t>
            </w:r>
            <w:r w:rsidR="001540BF" w:rsidRPr="004574C4">
              <w:rPr>
                <w:rFonts w:ascii="Arial" w:hAnsi="Arial" w:cs="Arial"/>
                <w:sz w:val="22"/>
                <w:szCs w:val="22"/>
              </w:rPr>
              <w:t>c</w:t>
            </w:r>
            <w:r w:rsidRPr="004574C4">
              <w:rPr>
                <w:rFonts w:ascii="Arial" w:hAnsi="Arial" w:cs="Arial"/>
                <w:sz w:val="22"/>
                <w:szCs w:val="22"/>
              </w:rPr>
              <w:t>epticism</w:t>
            </w:r>
            <w:proofErr w:type="spellEnd"/>
            <w:r w:rsidRPr="004574C4">
              <w:rPr>
                <w:rFonts w:ascii="Arial" w:hAnsi="Arial" w:cs="Arial"/>
                <w:sz w:val="22"/>
                <w:szCs w:val="22"/>
              </w:rPr>
              <w:t>;</w:t>
            </w:r>
          </w:p>
          <w:p w14:paraId="29425CE0" w14:textId="4E4E57F9" w:rsidR="00B6563B" w:rsidRPr="004574C4" w:rsidRDefault="00B6563B" w:rsidP="003B6079">
            <w:pPr>
              <w:pStyle w:val="ListParagraph"/>
              <w:numPr>
                <w:ilvl w:val="0"/>
                <w:numId w:val="6"/>
              </w:numPr>
              <w:jc w:val="both"/>
              <w:rPr>
                <w:rFonts w:ascii="Arial" w:hAnsi="Arial" w:cs="Arial"/>
                <w:sz w:val="22"/>
                <w:szCs w:val="22"/>
              </w:rPr>
            </w:pPr>
            <w:r w:rsidRPr="004574C4">
              <w:rPr>
                <w:rFonts w:ascii="Arial" w:hAnsi="Arial" w:cs="Arial"/>
                <w:sz w:val="22"/>
                <w:szCs w:val="22"/>
              </w:rPr>
              <w:t xml:space="preserve">Whether all professional accountants should apply these </w:t>
            </w:r>
            <w:proofErr w:type="spellStart"/>
            <w:r w:rsidR="003B6079" w:rsidRPr="003B6079">
              <w:rPr>
                <w:rFonts w:ascii="Arial" w:hAnsi="Arial" w:cs="Arial"/>
                <w:sz w:val="22"/>
                <w:szCs w:val="22"/>
              </w:rPr>
              <w:t>behavioural</w:t>
            </w:r>
            <w:proofErr w:type="spellEnd"/>
            <w:r w:rsidRPr="004574C4">
              <w:rPr>
                <w:rFonts w:ascii="Arial" w:hAnsi="Arial" w:cs="Arial"/>
                <w:sz w:val="22"/>
                <w:szCs w:val="22"/>
              </w:rPr>
              <w:t xml:space="preserve"> characteristics; and</w:t>
            </w:r>
          </w:p>
          <w:p w14:paraId="16643CDC" w14:textId="01CAF762" w:rsidR="00B6563B" w:rsidRPr="004574C4" w:rsidRDefault="00B6563B" w:rsidP="003B6079">
            <w:pPr>
              <w:pStyle w:val="ListParagraph"/>
              <w:numPr>
                <w:ilvl w:val="0"/>
                <w:numId w:val="6"/>
              </w:numPr>
              <w:jc w:val="both"/>
              <w:rPr>
                <w:rFonts w:ascii="Arial" w:hAnsi="Arial" w:cs="Arial"/>
                <w:sz w:val="22"/>
                <w:szCs w:val="22"/>
              </w:rPr>
            </w:pPr>
            <w:r w:rsidRPr="004574C4">
              <w:rPr>
                <w:rFonts w:ascii="Arial" w:hAnsi="Arial" w:cs="Arial"/>
                <w:sz w:val="22"/>
                <w:szCs w:val="22"/>
              </w:rPr>
              <w:t xml:space="preserve">Whether the </w:t>
            </w:r>
            <w:hyperlink r:id="rId6" w:history="1">
              <w:r w:rsidRPr="004574C4">
                <w:rPr>
                  <w:rStyle w:val="Hyperlink"/>
                  <w:rFonts w:ascii="Arial" w:hAnsi="Arial" w:cs="Arial"/>
                  <w:i/>
                  <w:sz w:val="22"/>
                  <w:szCs w:val="22"/>
                </w:rPr>
                <w:t>International Code of Ethics for Professional Accountants (including International Independence Standards)</w:t>
              </w:r>
            </w:hyperlink>
            <w:hyperlink r:id="rId7" w:history="1"/>
            <w:r w:rsidRPr="004574C4">
              <w:rPr>
                <w:rFonts w:ascii="Arial" w:hAnsi="Arial" w:cs="Arial"/>
                <w:sz w:val="22"/>
                <w:szCs w:val="22"/>
              </w:rPr>
              <w:t xml:space="preserve"> should be further developed to address behavio</w:t>
            </w:r>
            <w:r w:rsidR="0038693D" w:rsidRPr="004574C4">
              <w:rPr>
                <w:rFonts w:ascii="Arial" w:hAnsi="Arial" w:cs="Arial"/>
                <w:sz w:val="22"/>
                <w:szCs w:val="22"/>
              </w:rPr>
              <w:t>u</w:t>
            </w:r>
            <w:r w:rsidRPr="004574C4">
              <w:rPr>
                <w:rFonts w:ascii="Arial" w:hAnsi="Arial" w:cs="Arial"/>
                <w:sz w:val="22"/>
                <w:szCs w:val="22"/>
              </w:rPr>
              <w:t xml:space="preserve">rs associated with the exercise of appropriate professional </w:t>
            </w:r>
            <w:proofErr w:type="spellStart"/>
            <w:r w:rsidRPr="004574C4">
              <w:rPr>
                <w:rFonts w:ascii="Arial" w:hAnsi="Arial" w:cs="Arial"/>
                <w:sz w:val="22"/>
                <w:szCs w:val="22"/>
              </w:rPr>
              <w:t>s</w:t>
            </w:r>
            <w:r w:rsidR="001540BF" w:rsidRPr="004574C4">
              <w:rPr>
                <w:rFonts w:ascii="Arial" w:hAnsi="Arial" w:cs="Arial"/>
                <w:sz w:val="22"/>
                <w:szCs w:val="22"/>
              </w:rPr>
              <w:t>c</w:t>
            </w:r>
            <w:r w:rsidRPr="004574C4">
              <w:rPr>
                <w:rFonts w:ascii="Arial" w:hAnsi="Arial" w:cs="Arial"/>
                <w:sz w:val="22"/>
                <w:szCs w:val="22"/>
              </w:rPr>
              <w:t>epticism</w:t>
            </w:r>
            <w:proofErr w:type="spellEnd"/>
            <w:r w:rsidRPr="004574C4">
              <w:rPr>
                <w:rFonts w:ascii="Arial" w:hAnsi="Arial" w:cs="Arial"/>
                <w:sz w:val="22"/>
                <w:szCs w:val="22"/>
              </w:rPr>
              <w:t>.</w:t>
            </w:r>
          </w:p>
          <w:p w14:paraId="6547913F" w14:textId="77777777" w:rsidR="00B6563B" w:rsidRPr="004574C4" w:rsidRDefault="00B6563B" w:rsidP="003B6079">
            <w:pPr>
              <w:pStyle w:val="ListParagraph"/>
              <w:jc w:val="both"/>
              <w:rPr>
                <w:rFonts w:ascii="Arial" w:hAnsi="Arial" w:cs="Arial"/>
                <w:sz w:val="22"/>
                <w:szCs w:val="22"/>
              </w:rPr>
            </w:pPr>
          </w:p>
          <w:p w14:paraId="6BF48725" w14:textId="1F8EF1AB" w:rsidR="00B6563B" w:rsidRPr="004574C4" w:rsidRDefault="00B6563B" w:rsidP="003B6079">
            <w:pPr>
              <w:pStyle w:val="NormalWeb"/>
              <w:shd w:val="clear" w:color="auto" w:fill="FFFFFF"/>
              <w:spacing w:before="0" w:beforeAutospacing="0" w:after="0" w:afterAutospacing="0" w:line="276" w:lineRule="auto"/>
              <w:jc w:val="both"/>
              <w:textAlignment w:val="top"/>
              <w:rPr>
                <w:rFonts w:ascii="Arial" w:hAnsi="Arial" w:cs="Arial"/>
                <w:sz w:val="22"/>
                <w:szCs w:val="22"/>
              </w:rPr>
            </w:pPr>
            <w:r w:rsidRPr="004574C4">
              <w:rPr>
                <w:rFonts w:ascii="Arial" w:hAnsi="Arial" w:cs="Arial"/>
                <w:sz w:val="22"/>
                <w:szCs w:val="22"/>
              </w:rPr>
              <w:t xml:space="preserve">Through this initiative, the IESBA also aims to reinforce the effective exercise of professional </w:t>
            </w:r>
            <w:proofErr w:type="spellStart"/>
            <w:r w:rsidRPr="004574C4">
              <w:rPr>
                <w:rFonts w:ascii="Arial" w:hAnsi="Arial" w:cs="Arial"/>
                <w:sz w:val="22"/>
                <w:szCs w:val="22"/>
              </w:rPr>
              <w:t>s</w:t>
            </w:r>
            <w:r w:rsidR="001540BF" w:rsidRPr="004574C4">
              <w:rPr>
                <w:rFonts w:ascii="Arial" w:hAnsi="Arial" w:cs="Arial"/>
                <w:sz w:val="22"/>
                <w:szCs w:val="22"/>
              </w:rPr>
              <w:t>c</w:t>
            </w:r>
            <w:r w:rsidRPr="004574C4">
              <w:rPr>
                <w:rFonts w:ascii="Arial" w:hAnsi="Arial" w:cs="Arial"/>
                <w:sz w:val="22"/>
                <w:szCs w:val="22"/>
              </w:rPr>
              <w:t>epticism</w:t>
            </w:r>
            <w:proofErr w:type="spellEnd"/>
            <w:r w:rsidRPr="004574C4">
              <w:rPr>
                <w:rFonts w:ascii="Arial" w:hAnsi="Arial" w:cs="Arial"/>
                <w:sz w:val="22"/>
                <w:szCs w:val="22"/>
              </w:rPr>
              <w:t xml:space="preserve"> by auditors.</w:t>
            </w:r>
          </w:p>
          <w:p w14:paraId="63024742" w14:textId="49D9F68D" w:rsidR="00B6563B" w:rsidRPr="004574C4" w:rsidRDefault="00B6563B" w:rsidP="003B6079">
            <w:pPr>
              <w:pStyle w:val="NormalWeb"/>
              <w:shd w:val="clear" w:color="auto" w:fill="FFFFFF"/>
              <w:spacing w:before="0" w:beforeAutospacing="0" w:after="0" w:afterAutospacing="0" w:line="276" w:lineRule="auto"/>
              <w:jc w:val="both"/>
              <w:textAlignment w:val="top"/>
              <w:rPr>
                <w:rFonts w:ascii="Arial" w:hAnsi="Arial" w:cs="Arial"/>
                <w:b/>
                <w:sz w:val="22"/>
                <w:szCs w:val="22"/>
                <w:lang w:val="en-ZA"/>
              </w:rPr>
            </w:pPr>
          </w:p>
          <w:p w14:paraId="64A102F4" w14:textId="554F6C80" w:rsidR="0094135C" w:rsidRPr="004574C4" w:rsidRDefault="0094135C" w:rsidP="003B6079">
            <w:pPr>
              <w:pStyle w:val="NormalWeb"/>
              <w:shd w:val="clear" w:color="auto" w:fill="FFFFFF"/>
              <w:spacing w:before="0" w:beforeAutospacing="0" w:after="0" w:afterAutospacing="0" w:line="276" w:lineRule="auto"/>
              <w:jc w:val="both"/>
              <w:textAlignment w:val="top"/>
              <w:rPr>
                <w:rFonts w:ascii="Arial" w:hAnsi="Arial" w:cs="Arial"/>
                <w:b/>
                <w:sz w:val="22"/>
                <w:szCs w:val="22"/>
                <w:lang w:val="en-ZA"/>
              </w:rPr>
            </w:pPr>
            <w:r w:rsidRPr="004574C4">
              <w:rPr>
                <w:rFonts w:ascii="Arial" w:hAnsi="Arial" w:cs="Arial"/>
                <w:b/>
                <w:sz w:val="22"/>
                <w:szCs w:val="22"/>
                <w:lang w:val="en-ZA"/>
              </w:rPr>
              <w:t>Request for Comment</w:t>
            </w:r>
          </w:p>
          <w:p w14:paraId="3BB391EB" w14:textId="77777777" w:rsidR="00B6563B" w:rsidRPr="004574C4" w:rsidRDefault="00B6563B" w:rsidP="003B6079">
            <w:pPr>
              <w:spacing w:line="276" w:lineRule="auto"/>
              <w:jc w:val="both"/>
              <w:rPr>
                <w:rFonts w:ascii="Arial" w:hAnsi="Arial" w:cs="Arial"/>
                <w:color w:val="000000"/>
                <w:sz w:val="22"/>
                <w:szCs w:val="22"/>
                <w:lang w:val="en-ZA" w:eastAsia="en-ZA"/>
              </w:rPr>
            </w:pPr>
          </w:p>
          <w:p w14:paraId="45D4F2E3" w14:textId="1F18309D" w:rsidR="00B6563B" w:rsidRPr="004574C4" w:rsidRDefault="00B6563B" w:rsidP="003B6079">
            <w:pPr>
              <w:spacing w:line="276" w:lineRule="auto"/>
              <w:jc w:val="both"/>
              <w:rPr>
                <w:rFonts w:ascii="Arial" w:hAnsi="Arial" w:cs="Arial"/>
                <w:color w:val="7C7C7C"/>
                <w:sz w:val="22"/>
                <w:szCs w:val="22"/>
                <w:lang w:val="en-ZA"/>
              </w:rPr>
            </w:pPr>
            <w:r w:rsidRPr="004574C4">
              <w:rPr>
                <w:rFonts w:ascii="Arial" w:hAnsi="Arial" w:cs="Arial"/>
                <w:color w:val="000000"/>
                <w:sz w:val="22"/>
                <w:szCs w:val="22"/>
                <w:lang w:val="en-ZA" w:eastAsia="en-ZA"/>
              </w:rPr>
              <w:t xml:space="preserve">We invite registered auditors and others to submit any comments regarding the </w:t>
            </w:r>
            <w:r w:rsidR="00876DB6" w:rsidRPr="004574C4">
              <w:rPr>
                <w:rFonts w:ascii="Arial" w:hAnsi="Arial" w:cs="Arial"/>
                <w:color w:val="000000"/>
                <w:sz w:val="22"/>
                <w:szCs w:val="22"/>
                <w:lang w:val="en-ZA" w:eastAsia="en-ZA"/>
              </w:rPr>
              <w:t>consultation paper</w:t>
            </w:r>
            <w:r w:rsidRPr="004574C4">
              <w:rPr>
                <w:rFonts w:ascii="Arial" w:hAnsi="Arial" w:cs="Arial"/>
                <w:color w:val="000000"/>
                <w:sz w:val="22"/>
                <w:szCs w:val="22"/>
                <w:lang w:val="en-ZA" w:eastAsia="en-ZA"/>
              </w:rPr>
              <w:t xml:space="preserve"> to the IRBA for consideration as we prepare our response to the IESBA. Comments should be addressed to </w:t>
            </w:r>
            <w:hyperlink r:id="rId8" w:history="1">
              <w:r w:rsidRPr="004574C4">
                <w:rPr>
                  <w:rStyle w:val="Hyperlink"/>
                  <w:rFonts w:ascii="Arial" w:hAnsi="Arial" w:cs="Arial"/>
                  <w:color w:val="B0372B"/>
                  <w:sz w:val="22"/>
                  <w:szCs w:val="22"/>
                  <w:lang w:val="en-ZA"/>
                </w:rPr>
                <w:t>standards@irba.co.za</w:t>
              </w:r>
            </w:hyperlink>
            <w:r w:rsidRPr="004574C4">
              <w:rPr>
                <w:rFonts w:ascii="Arial" w:hAnsi="Arial" w:cs="Arial"/>
                <w:color w:val="7C7C7C"/>
                <w:sz w:val="22"/>
                <w:szCs w:val="22"/>
                <w:lang w:val="en-ZA"/>
              </w:rPr>
              <w:t xml:space="preserve"> </w:t>
            </w:r>
            <w:r w:rsidRPr="004574C4">
              <w:rPr>
                <w:rFonts w:ascii="Arial" w:hAnsi="Arial" w:cs="Arial"/>
                <w:color w:val="000000"/>
                <w:sz w:val="22"/>
                <w:szCs w:val="22"/>
                <w:lang w:val="en-ZA" w:eastAsia="en-ZA"/>
              </w:rPr>
              <w:t xml:space="preserve">in Word and PDF formats by </w:t>
            </w:r>
            <w:r w:rsidR="00876DB6" w:rsidRPr="004574C4">
              <w:rPr>
                <w:rFonts w:ascii="Arial" w:hAnsi="Arial" w:cs="Arial"/>
                <w:color w:val="000000"/>
                <w:sz w:val="22"/>
                <w:szCs w:val="22"/>
                <w:lang w:val="en-ZA" w:eastAsia="en-ZA"/>
              </w:rPr>
              <w:t>1 August 2018</w:t>
            </w:r>
            <w:r w:rsidRPr="004574C4">
              <w:rPr>
                <w:rFonts w:ascii="Arial" w:hAnsi="Arial" w:cs="Arial"/>
                <w:color w:val="000000"/>
                <w:sz w:val="22"/>
                <w:szCs w:val="22"/>
                <w:lang w:val="en-ZA" w:eastAsia="en-ZA"/>
              </w:rPr>
              <w:t>.</w:t>
            </w:r>
          </w:p>
          <w:p w14:paraId="3F8DEA1E" w14:textId="77777777" w:rsidR="00B6563B" w:rsidRPr="004574C4" w:rsidRDefault="00B6563B" w:rsidP="003B6079">
            <w:pPr>
              <w:pStyle w:val="NormalWeb"/>
              <w:shd w:val="clear" w:color="auto" w:fill="FFFFFF"/>
              <w:spacing w:before="0" w:beforeAutospacing="0" w:after="0" w:afterAutospacing="0" w:line="276" w:lineRule="auto"/>
              <w:jc w:val="both"/>
              <w:textAlignment w:val="top"/>
              <w:rPr>
                <w:rFonts w:ascii="Arial" w:hAnsi="Arial" w:cs="Arial"/>
                <w:sz w:val="22"/>
                <w:szCs w:val="22"/>
              </w:rPr>
            </w:pPr>
          </w:p>
          <w:p w14:paraId="0DF02004" w14:textId="1C09EA52" w:rsidR="0094135C" w:rsidRPr="00B6563B" w:rsidRDefault="00876DB6" w:rsidP="003B6079">
            <w:pPr>
              <w:spacing w:line="276" w:lineRule="auto"/>
              <w:jc w:val="both"/>
              <w:textAlignment w:val="top"/>
              <w:rPr>
                <w:rFonts w:ascii="Arial" w:hAnsi="Arial" w:cs="Arial"/>
                <w:b/>
                <w:sz w:val="22"/>
                <w:szCs w:val="22"/>
                <w:lang w:val="en-ZA"/>
              </w:rPr>
            </w:pPr>
            <w:r w:rsidRPr="004574C4">
              <w:rPr>
                <w:rFonts w:ascii="Arial" w:hAnsi="Arial" w:cs="Arial"/>
                <w:sz w:val="22"/>
                <w:szCs w:val="22"/>
              </w:rPr>
              <w:t xml:space="preserve">Alternatively, comments may be submitted directly to the IESBA through the </w:t>
            </w:r>
            <w:hyperlink r:id="rId9" w:history="1">
              <w:r w:rsidRPr="004574C4">
                <w:rPr>
                  <w:rStyle w:val="Hyperlink"/>
                  <w:rFonts w:ascii="Arial" w:hAnsi="Arial" w:cs="Arial"/>
                  <w:sz w:val="22"/>
                  <w:szCs w:val="22"/>
                </w:rPr>
                <w:t>www.ifac.org</w:t>
              </w:r>
            </w:hyperlink>
            <w:r w:rsidRPr="004574C4">
              <w:rPr>
                <w:rFonts w:ascii="Arial" w:hAnsi="Arial" w:cs="Arial"/>
                <w:sz w:val="22"/>
                <w:szCs w:val="22"/>
              </w:rPr>
              <w:t xml:space="preserve"> </w:t>
            </w:r>
            <w:r w:rsidR="004574C4">
              <w:rPr>
                <w:rFonts w:ascii="Arial" w:hAnsi="Arial" w:cs="Arial"/>
                <w:sz w:val="22"/>
                <w:szCs w:val="22"/>
              </w:rPr>
              <w:t>website, which has a 'Submit a Comment'</w:t>
            </w:r>
            <w:r w:rsidRPr="004574C4">
              <w:rPr>
                <w:rFonts w:ascii="Arial" w:hAnsi="Arial" w:cs="Arial"/>
                <w:sz w:val="22"/>
                <w:szCs w:val="22"/>
              </w:rPr>
              <w:t xml:space="preserve"> link on the Exposure Drafts and Consultation Papers page. Comments to the IESBA close on </w:t>
            </w:r>
            <w:r w:rsidR="00F0386C" w:rsidRPr="004574C4">
              <w:rPr>
                <w:rFonts w:ascii="Arial" w:hAnsi="Arial" w:cs="Arial"/>
                <w:sz w:val="22"/>
                <w:szCs w:val="22"/>
              </w:rPr>
              <w:t>15 August 2018</w:t>
            </w:r>
            <w:r w:rsidRPr="004574C4">
              <w:rPr>
                <w:rFonts w:ascii="Arial" w:hAnsi="Arial" w:cs="Arial"/>
                <w:sz w:val="22"/>
                <w:szCs w:val="22"/>
              </w:rPr>
              <w:t>.</w:t>
            </w:r>
          </w:p>
          <w:p w14:paraId="500901FC" w14:textId="77777777" w:rsidR="0094135C" w:rsidRPr="00B6563B" w:rsidRDefault="0094135C" w:rsidP="003B6079">
            <w:pPr>
              <w:spacing w:line="276" w:lineRule="auto"/>
              <w:jc w:val="both"/>
              <w:textAlignment w:val="top"/>
              <w:rPr>
                <w:rFonts w:ascii="Arial" w:hAnsi="Arial" w:cs="Arial"/>
                <w:b/>
                <w:sz w:val="22"/>
                <w:szCs w:val="22"/>
                <w:lang w:val="en-ZA"/>
              </w:rPr>
            </w:pPr>
          </w:p>
          <w:p w14:paraId="049DF3CC" w14:textId="77777777" w:rsidR="0094135C" w:rsidRPr="00B6563B" w:rsidRDefault="0094135C" w:rsidP="003B6079">
            <w:pPr>
              <w:spacing w:line="276" w:lineRule="auto"/>
              <w:jc w:val="both"/>
              <w:textAlignment w:val="top"/>
              <w:rPr>
                <w:rFonts w:ascii="Arial" w:hAnsi="Arial" w:cs="Arial"/>
                <w:b/>
                <w:sz w:val="22"/>
                <w:szCs w:val="22"/>
                <w:lang w:val="en-ZA"/>
              </w:rPr>
            </w:pPr>
          </w:p>
          <w:p w14:paraId="3A9E8505" w14:textId="77777777" w:rsidR="0094135C" w:rsidRPr="00B6563B" w:rsidRDefault="0094135C" w:rsidP="003B6079">
            <w:pPr>
              <w:spacing w:line="276" w:lineRule="auto"/>
              <w:jc w:val="both"/>
              <w:textAlignment w:val="top"/>
              <w:rPr>
                <w:rFonts w:ascii="Arial" w:hAnsi="Arial" w:cs="Arial"/>
                <w:b/>
                <w:sz w:val="22"/>
                <w:szCs w:val="22"/>
                <w:lang w:val="en-ZA"/>
              </w:rPr>
            </w:pPr>
            <w:r w:rsidRPr="00B6563B">
              <w:rPr>
                <w:rFonts w:ascii="Arial" w:hAnsi="Arial" w:cs="Arial"/>
                <w:b/>
                <w:sz w:val="22"/>
                <w:szCs w:val="22"/>
                <w:lang w:val="en-ZA"/>
              </w:rPr>
              <w:t>Imran Vanker</w:t>
            </w:r>
          </w:p>
          <w:p w14:paraId="3A3DE5B1" w14:textId="7B184FF2" w:rsidR="0094135C" w:rsidRPr="00B6563B" w:rsidRDefault="0094135C" w:rsidP="003B6079">
            <w:pPr>
              <w:spacing w:after="120" w:line="276" w:lineRule="auto"/>
              <w:jc w:val="both"/>
              <w:rPr>
                <w:rFonts w:ascii="Arial" w:hAnsi="Arial" w:cs="Arial"/>
                <w:b/>
                <w:sz w:val="22"/>
                <w:szCs w:val="22"/>
                <w:lang w:val="en-ZA"/>
              </w:rPr>
            </w:pPr>
            <w:r w:rsidRPr="00B6563B">
              <w:rPr>
                <w:rFonts w:ascii="Arial" w:hAnsi="Arial" w:cs="Arial"/>
                <w:b/>
                <w:sz w:val="22"/>
                <w:szCs w:val="22"/>
                <w:lang w:val="en-ZA"/>
              </w:rPr>
              <w:t>Director: Standards</w:t>
            </w:r>
          </w:p>
          <w:p w14:paraId="6EBFDDB7" w14:textId="77777777" w:rsidR="008629E8" w:rsidRPr="00B6563B" w:rsidRDefault="008629E8" w:rsidP="003B6079">
            <w:pPr>
              <w:spacing w:after="120" w:line="276" w:lineRule="auto"/>
              <w:jc w:val="both"/>
              <w:rPr>
                <w:rFonts w:ascii="Arial" w:hAnsi="Arial" w:cs="Arial"/>
                <w:b/>
                <w:sz w:val="22"/>
                <w:szCs w:val="22"/>
                <w:lang w:val="en-ZA"/>
              </w:rPr>
            </w:pPr>
          </w:p>
          <w:p w14:paraId="73A1860C" w14:textId="77777777" w:rsidR="0094135C" w:rsidRPr="00B6563B" w:rsidRDefault="0094135C" w:rsidP="003B6079">
            <w:pPr>
              <w:spacing w:after="120" w:line="276" w:lineRule="auto"/>
              <w:jc w:val="both"/>
              <w:rPr>
                <w:rFonts w:ascii="Arial" w:hAnsi="Arial" w:cs="Arial"/>
                <w:b/>
                <w:i/>
                <w:noProof/>
                <w:sz w:val="22"/>
                <w:szCs w:val="22"/>
                <w:lang w:val="en-ZA"/>
              </w:rPr>
            </w:pPr>
            <w:r w:rsidRPr="00B6563B">
              <w:rPr>
                <w:rFonts w:ascii="Arial" w:hAnsi="Arial" w:cs="Arial"/>
                <w:b/>
                <w:i/>
                <w:noProof/>
                <w:sz w:val="22"/>
                <w:szCs w:val="22"/>
                <w:lang w:val="en-ZA"/>
              </w:rPr>
              <w:t>About the IRBA</w:t>
            </w:r>
          </w:p>
          <w:p w14:paraId="58D1DC2E" w14:textId="77777777" w:rsidR="00C013E9" w:rsidRPr="007E2C48" w:rsidRDefault="0094135C" w:rsidP="003B6079">
            <w:pPr>
              <w:spacing w:after="120" w:line="276" w:lineRule="auto"/>
              <w:jc w:val="both"/>
              <w:rPr>
                <w:rFonts w:ascii="Arial" w:hAnsi="Arial" w:cs="Arial"/>
                <w:i/>
                <w:iCs/>
                <w:sz w:val="20"/>
                <w:szCs w:val="20"/>
                <w:lang w:val="en-ZA"/>
              </w:rPr>
            </w:pPr>
            <w:r w:rsidRPr="007E2C48">
              <w:rPr>
                <w:rFonts w:ascii="Arial" w:hAnsi="Arial" w:cs="Arial"/>
                <w:i/>
                <w:iCs/>
                <w:sz w:val="20"/>
                <w:szCs w:val="20"/>
                <w:lang w:val="en-ZA"/>
              </w:rPr>
              <w:t>The objectives of the IRBA are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r w:rsidR="00F12517" w:rsidRPr="007E2C48">
              <w:rPr>
                <w:rFonts w:ascii="Arial" w:hAnsi="Arial" w:cs="Arial"/>
                <w:i/>
                <w:iCs/>
                <w:sz w:val="20"/>
                <w:szCs w:val="20"/>
                <w:lang w:val="en-ZA"/>
              </w:rPr>
              <w:t>.</w:t>
            </w:r>
          </w:p>
          <w:p w14:paraId="3A4C9309" w14:textId="78FB91CB" w:rsidR="007E2C48" w:rsidRPr="00B6563B" w:rsidRDefault="007E2C48" w:rsidP="003B6079">
            <w:pPr>
              <w:spacing w:after="120" w:line="276" w:lineRule="auto"/>
              <w:jc w:val="both"/>
              <w:rPr>
                <w:rFonts w:ascii="Arial" w:hAnsi="Arial" w:cs="Arial"/>
                <w:i/>
                <w:iCs/>
                <w:sz w:val="22"/>
                <w:szCs w:val="22"/>
                <w:lang w:val="en-ZA"/>
              </w:rPr>
            </w:pPr>
            <w:r w:rsidRPr="007E2C48">
              <w:rPr>
                <w:rFonts w:ascii="Arial" w:hAnsi="Arial" w:cs="Arial"/>
                <w:i/>
                <w:iCs/>
                <w:sz w:val="20"/>
                <w:szCs w:val="20"/>
                <w:lang w:val="en-ZA"/>
              </w:rPr>
              <w:t>The statutory responsibilities of the CFAE are to assist the IRBA to determine what constitutes improper conduct by registered auditors by developing rules and guidelines for professional ethics, including a code of professional conduct; to interact on any matter relating to its functions and powers with professional bodies and any other body or organ of state with an interest in the auditing profession; and to provide advice to registered auditors on matters of professional ethics and conduct.</w:t>
            </w:r>
          </w:p>
        </w:tc>
      </w:tr>
      <w:tr w:rsidR="0024778B" w:rsidRPr="00B6563B" w14:paraId="3298AFE4" w14:textId="77777777" w:rsidTr="003B6079">
        <w:trPr>
          <w:trHeight w:val="387"/>
        </w:trPr>
        <w:tc>
          <w:tcPr>
            <w:tcW w:w="9766" w:type="dxa"/>
            <w:tcBorders>
              <w:top w:val="nil"/>
              <w:left w:val="nil"/>
              <w:bottom w:val="nil"/>
              <w:right w:val="nil"/>
            </w:tcBorders>
          </w:tcPr>
          <w:p w14:paraId="6D495D99" w14:textId="77777777" w:rsidR="0024778B" w:rsidRPr="00B6563B" w:rsidRDefault="0024778B" w:rsidP="00960373">
            <w:pPr>
              <w:spacing w:after="120" w:line="276" w:lineRule="auto"/>
              <w:jc w:val="center"/>
              <w:rPr>
                <w:rFonts w:ascii="Arial" w:hAnsi="Arial" w:cs="Arial"/>
                <w:b/>
                <w:sz w:val="22"/>
                <w:szCs w:val="22"/>
              </w:rPr>
            </w:pPr>
          </w:p>
        </w:tc>
      </w:tr>
    </w:tbl>
    <w:p w14:paraId="2B16124C" w14:textId="1B02AAF2" w:rsidR="00794A42" w:rsidRPr="00B6563B" w:rsidRDefault="00794A42" w:rsidP="001540BF">
      <w:pPr>
        <w:spacing w:after="120" w:line="360" w:lineRule="auto"/>
        <w:jc w:val="both"/>
        <w:rPr>
          <w:rFonts w:ascii="Arial" w:hAnsi="Arial" w:cs="Arial"/>
          <w:sz w:val="20"/>
          <w:szCs w:val="20"/>
          <w:lang w:val="en-ZA"/>
        </w:rPr>
      </w:pPr>
    </w:p>
    <w:sectPr w:rsidR="00794A42" w:rsidRPr="00B6563B" w:rsidSect="007E2C48">
      <w:pgSz w:w="11906" w:h="16838"/>
      <w:pgMar w:top="135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B0220"/>
    <w:multiLevelType w:val="multilevel"/>
    <w:tmpl w:val="7348ECC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abstractNum w:abstractNumId="2" w15:restartNumberingAfterBreak="0">
    <w:nsid w:val="288B0709"/>
    <w:multiLevelType w:val="hybridMultilevel"/>
    <w:tmpl w:val="33F48E58"/>
    <w:lvl w:ilvl="0" w:tplc="1C090001">
      <w:start w:val="1"/>
      <w:numFmt w:val="bullet"/>
      <w:lvlText w:val=""/>
      <w:lvlJc w:val="left"/>
      <w:pPr>
        <w:ind w:left="780" w:hanging="360"/>
      </w:pPr>
      <w:rPr>
        <w:rFonts w:ascii="Symbol" w:hAnsi="Symbol" w:hint="default"/>
      </w:rPr>
    </w:lvl>
    <w:lvl w:ilvl="1" w:tplc="1C090003" w:tentative="1">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6AFB7A22"/>
    <w:multiLevelType w:val="multilevel"/>
    <w:tmpl w:val="9384D4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D71A06"/>
    <w:multiLevelType w:val="multilevel"/>
    <w:tmpl w:val="426C7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7B9541D"/>
    <w:multiLevelType w:val="hybridMultilevel"/>
    <w:tmpl w:val="44DE8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0337A5"/>
    <w:rsid w:val="00083DCB"/>
    <w:rsid w:val="00096A77"/>
    <w:rsid w:val="000D3F10"/>
    <w:rsid w:val="000E3C9D"/>
    <w:rsid w:val="001513A2"/>
    <w:rsid w:val="001540BF"/>
    <w:rsid w:val="00160B8D"/>
    <w:rsid w:val="001D6A92"/>
    <w:rsid w:val="001F7151"/>
    <w:rsid w:val="0024778B"/>
    <w:rsid w:val="00287884"/>
    <w:rsid w:val="002B1A62"/>
    <w:rsid w:val="00300988"/>
    <w:rsid w:val="0038693D"/>
    <w:rsid w:val="003B6079"/>
    <w:rsid w:val="003D74FD"/>
    <w:rsid w:val="003F3563"/>
    <w:rsid w:val="004201B0"/>
    <w:rsid w:val="0045668D"/>
    <w:rsid w:val="004574C4"/>
    <w:rsid w:val="004744A7"/>
    <w:rsid w:val="004C10FE"/>
    <w:rsid w:val="004D02D6"/>
    <w:rsid w:val="004E25DD"/>
    <w:rsid w:val="00504127"/>
    <w:rsid w:val="005074ED"/>
    <w:rsid w:val="00517BB2"/>
    <w:rsid w:val="0055141F"/>
    <w:rsid w:val="0059722B"/>
    <w:rsid w:val="005D40BC"/>
    <w:rsid w:val="005E5180"/>
    <w:rsid w:val="005F6313"/>
    <w:rsid w:val="00623EEC"/>
    <w:rsid w:val="0064278D"/>
    <w:rsid w:val="006804B0"/>
    <w:rsid w:val="006A2A11"/>
    <w:rsid w:val="006F4198"/>
    <w:rsid w:val="0073792D"/>
    <w:rsid w:val="00755A96"/>
    <w:rsid w:val="007625AA"/>
    <w:rsid w:val="007720D1"/>
    <w:rsid w:val="00794A42"/>
    <w:rsid w:val="007A0DC4"/>
    <w:rsid w:val="007A167E"/>
    <w:rsid w:val="007D312A"/>
    <w:rsid w:val="007D6E1C"/>
    <w:rsid w:val="007E2C48"/>
    <w:rsid w:val="007F168C"/>
    <w:rsid w:val="008629E8"/>
    <w:rsid w:val="00876DB6"/>
    <w:rsid w:val="00881EB6"/>
    <w:rsid w:val="008C535D"/>
    <w:rsid w:val="00917C59"/>
    <w:rsid w:val="0094135C"/>
    <w:rsid w:val="009413CF"/>
    <w:rsid w:val="00945B76"/>
    <w:rsid w:val="00960373"/>
    <w:rsid w:val="00981C35"/>
    <w:rsid w:val="009E76B0"/>
    <w:rsid w:val="00A038D3"/>
    <w:rsid w:val="00A07C40"/>
    <w:rsid w:val="00A07EAE"/>
    <w:rsid w:val="00A26BDE"/>
    <w:rsid w:val="00A5780F"/>
    <w:rsid w:val="00B208DE"/>
    <w:rsid w:val="00B6563B"/>
    <w:rsid w:val="00B9207D"/>
    <w:rsid w:val="00BA151A"/>
    <w:rsid w:val="00BA5C2F"/>
    <w:rsid w:val="00BD42E5"/>
    <w:rsid w:val="00C013E9"/>
    <w:rsid w:val="00C369CB"/>
    <w:rsid w:val="00C4099B"/>
    <w:rsid w:val="00C44799"/>
    <w:rsid w:val="00CA7C7D"/>
    <w:rsid w:val="00D1385C"/>
    <w:rsid w:val="00D308A9"/>
    <w:rsid w:val="00D436CE"/>
    <w:rsid w:val="00D6190C"/>
    <w:rsid w:val="00D80310"/>
    <w:rsid w:val="00D9503B"/>
    <w:rsid w:val="00D9728A"/>
    <w:rsid w:val="00D97632"/>
    <w:rsid w:val="00DB3D17"/>
    <w:rsid w:val="00DD255E"/>
    <w:rsid w:val="00DE78B0"/>
    <w:rsid w:val="00E22189"/>
    <w:rsid w:val="00EC7FAC"/>
    <w:rsid w:val="00ED6271"/>
    <w:rsid w:val="00F0386C"/>
    <w:rsid w:val="00F10907"/>
    <w:rsid w:val="00F12517"/>
    <w:rsid w:val="00F262CB"/>
    <w:rsid w:val="00F76271"/>
    <w:rsid w:val="00F94736"/>
    <w:rsid w:val="00FC01D0"/>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42540"/>
  <w15:docId w15:val="{BDE8D6DE-A95F-42BF-8129-D1393CE2E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character" w:styleId="Emphasis">
    <w:name w:val="Emphasis"/>
    <w:basedOn w:val="DefaultParagraphFont"/>
    <w:uiPriority w:val="20"/>
    <w:qFormat/>
    <w:rsid w:val="00A26BDE"/>
    <w:rPr>
      <w:i/>
      <w:iCs/>
    </w:rPr>
  </w:style>
  <w:style w:type="character" w:customStyle="1" w:styleId="blue4">
    <w:name w:val="blue4"/>
    <w:basedOn w:val="DefaultParagraphFont"/>
    <w:rsid w:val="00A26BDE"/>
    <w:rPr>
      <w:b/>
      <w:bCs/>
      <w:color w:val="5999B8"/>
    </w:rPr>
  </w:style>
  <w:style w:type="paragraph" w:styleId="BalloonText">
    <w:name w:val="Balloon Text"/>
    <w:basedOn w:val="Normal"/>
    <w:link w:val="BalloonTextChar"/>
    <w:uiPriority w:val="99"/>
    <w:semiHidden/>
    <w:unhideWhenUsed/>
    <w:rsid w:val="007A167E"/>
    <w:rPr>
      <w:rFonts w:ascii="Tahoma" w:hAnsi="Tahoma" w:cs="Tahoma"/>
      <w:sz w:val="16"/>
      <w:szCs w:val="16"/>
    </w:rPr>
  </w:style>
  <w:style w:type="character" w:customStyle="1" w:styleId="BalloonTextChar">
    <w:name w:val="Balloon Text Char"/>
    <w:basedOn w:val="DefaultParagraphFont"/>
    <w:link w:val="BalloonText"/>
    <w:uiPriority w:val="99"/>
    <w:semiHidden/>
    <w:rsid w:val="007A167E"/>
    <w:rPr>
      <w:rFonts w:ascii="Tahoma" w:eastAsia="Times New Roman" w:hAnsi="Tahoma" w:cs="Tahoma"/>
      <w:sz w:val="16"/>
      <w:szCs w:val="16"/>
      <w:lang w:val="en-US"/>
    </w:rPr>
  </w:style>
  <w:style w:type="table" w:styleId="TableGrid">
    <w:name w:val="Table Grid"/>
    <w:basedOn w:val="TableNormal"/>
    <w:uiPriority w:val="59"/>
    <w:rsid w:val="00941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7F168C"/>
    <w:rPr>
      <w:color w:val="800080" w:themeColor="followedHyperlink"/>
      <w:u w:val="single"/>
    </w:rPr>
  </w:style>
  <w:style w:type="character" w:styleId="CommentReference">
    <w:name w:val="annotation reference"/>
    <w:basedOn w:val="DefaultParagraphFont"/>
    <w:uiPriority w:val="99"/>
    <w:semiHidden/>
    <w:unhideWhenUsed/>
    <w:rsid w:val="00C013E9"/>
    <w:rPr>
      <w:sz w:val="16"/>
      <w:szCs w:val="16"/>
    </w:rPr>
  </w:style>
  <w:style w:type="paragraph" w:styleId="CommentText">
    <w:name w:val="annotation text"/>
    <w:basedOn w:val="Normal"/>
    <w:link w:val="CommentTextChar"/>
    <w:uiPriority w:val="99"/>
    <w:semiHidden/>
    <w:unhideWhenUsed/>
    <w:rsid w:val="00C013E9"/>
    <w:rPr>
      <w:sz w:val="20"/>
      <w:szCs w:val="20"/>
    </w:rPr>
  </w:style>
  <w:style w:type="character" w:customStyle="1" w:styleId="CommentTextChar">
    <w:name w:val="Comment Text Char"/>
    <w:basedOn w:val="DefaultParagraphFont"/>
    <w:link w:val="CommentText"/>
    <w:uiPriority w:val="99"/>
    <w:semiHidden/>
    <w:rsid w:val="00C013E9"/>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013E9"/>
    <w:rPr>
      <w:b/>
      <w:bCs/>
    </w:rPr>
  </w:style>
  <w:style w:type="character" w:customStyle="1" w:styleId="CommentSubjectChar">
    <w:name w:val="Comment Subject Char"/>
    <w:basedOn w:val="CommentTextChar"/>
    <w:link w:val="CommentSubject"/>
    <w:uiPriority w:val="99"/>
    <w:semiHidden/>
    <w:rsid w:val="00C013E9"/>
    <w:rPr>
      <w:rFonts w:ascii="Times New Roman" w:eastAsia="Times New Roman" w:hAnsi="Times New Roman" w:cs="Times New Roman"/>
      <w:b/>
      <w:bCs/>
      <w:sz w:val="20"/>
      <w:szCs w:val="20"/>
      <w:lang w:val="en-US"/>
    </w:rPr>
  </w:style>
  <w:style w:type="character" w:styleId="Strong">
    <w:name w:val="Strong"/>
    <w:basedOn w:val="DefaultParagraphFont"/>
    <w:uiPriority w:val="22"/>
    <w:qFormat/>
    <w:rsid w:val="00A5780F"/>
    <w:rPr>
      <w:b/>
      <w:bCs/>
    </w:rPr>
  </w:style>
  <w:style w:type="paragraph" w:styleId="ListParagraph">
    <w:name w:val="List Paragraph"/>
    <w:basedOn w:val="Normal"/>
    <w:uiPriority w:val="34"/>
    <w:qFormat/>
    <w:rsid w:val="00B656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51475896">
      <w:bodyDiv w:val="1"/>
      <w:marLeft w:val="0"/>
      <w:marRight w:val="0"/>
      <w:marTop w:val="0"/>
      <w:marBottom w:val="0"/>
      <w:divBdr>
        <w:top w:val="none" w:sz="0" w:space="0" w:color="auto"/>
        <w:left w:val="none" w:sz="0" w:space="0" w:color="auto"/>
        <w:bottom w:val="none" w:sz="0" w:space="0" w:color="auto"/>
        <w:right w:val="none" w:sz="0" w:space="0" w:color="auto"/>
      </w:divBdr>
    </w:div>
    <w:div w:id="951210318">
      <w:bodyDiv w:val="1"/>
      <w:marLeft w:val="0"/>
      <w:marRight w:val="0"/>
      <w:marTop w:val="0"/>
      <w:marBottom w:val="0"/>
      <w:divBdr>
        <w:top w:val="none" w:sz="0" w:space="0" w:color="auto"/>
        <w:left w:val="none" w:sz="0" w:space="0" w:color="auto"/>
        <w:bottom w:val="none" w:sz="0" w:space="0" w:color="auto"/>
        <w:right w:val="none" w:sz="0" w:space="0" w:color="auto"/>
      </w:divBdr>
    </w:div>
    <w:div w:id="1013383549">
      <w:bodyDiv w:val="1"/>
      <w:marLeft w:val="0"/>
      <w:marRight w:val="0"/>
      <w:marTop w:val="0"/>
      <w:marBottom w:val="0"/>
      <w:divBdr>
        <w:top w:val="none" w:sz="0" w:space="0" w:color="auto"/>
        <w:left w:val="none" w:sz="0" w:space="0" w:color="auto"/>
        <w:bottom w:val="none" w:sz="0" w:space="0" w:color="auto"/>
        <w:right w:val="none" w:sz="0" w:space="0" w:color="auto"/>
      </w:divBdr>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878397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www.ifac.org/publications-resources/final-pronouncement-restructured-co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c.org/publications-resources/final-pronouncement-restructured-code" TargetMode="External"/><Relationship Id="rId11" Type="http://schemas.openxmlformats.org/officeDocument/2006/relationships/theme" Target="theme/theme1.xml"/><Relationship Id="rId5" Type="http://schemas.openxmlformats.org/officeDocument/2006/relationships/hyperlink" Target="https://www.irba.co.za/guidance-to-ras/technical-guidance-for-auditors/exposure-drafts-and-comment-letters"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fac.org/news-events/2018-05/global-ethics-board-consults-professional-skeptici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5</cp:revision>
  <cp:lastPrinted>2018-05-28T13:38:00Z</cp:lastPrinted>
  <dcterms:created xsi:type="dcterms:W3CDTF">2018-05-29T11:39:00Z</dcterms:created>
  <dcterms:modified xsi:type="dcterms:W3CDTF">2018-05-29T12:54:00Z</dcterms:modified>
</cp:coreProperties>
</file>