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28A" w:rsidRPr="00266CB4" w:rsidRDefault="00D9728A" w:rsidP="009B40ED">
      <w:pPr>
        <w:pBdr>
          <w:top w:val="single" w:sz="4" w:space="1" w:color="auto"/>
          <w:bottom w:val="single" w:sz="4" w:space="1" w:color="auto"/>
        </w:pBdr>
        <w:spacing w:before="120" w:after="120" w:line="276" w:lineRule="auto"/>
        <w:jc w:val="center"/>
        <w:rPr>
          <w:rFonts w:ascii="Arial" w:hAnsi="Arial" w:cs="Arial"/>
          <w:b/>
          <w:bCs/>
          <w:color w:val="CC0000"/>
          <w:lang w:val="en-ZA"/>
        </w:rPr>
      </w:pPr>
      <w:r w:rsidRPr="00266CB4">
        <w:rPr>
          <w:rFonts w:ascii="Arial" w:hAnsi="Arial" w:cs="Arial"/>
          <w:b/>
          <w:bCs/>
          <w:color w:val="CC0000"/>
          <w:lang w:val="en-ZA"/>
        </w:rPr>
        <w:t>INDEPENDENT REGULATORY BOARD FOR AUDITORS</w:t>
      </w:r>
    </w:p>
    <w:p w:rsidR="00D9728A" w:rsidRPr="00266CB4" w:rsidRDefault="00D9728A" w:rsidP="009B40ED">
      <w:pPr>
        <w:pBdr>
          <w:top w:val="single" w:sz="4" w:space="1" w:color="auto"/>
          <w:bottom w:val="single" w:sz="4" w:space="1" w:color="auto"/>
        </w:pBdr>
        <w:spacing w:before="120" w:after="120" w:line="276" w:lineRule="auto"/>
        <w:jc w:val="center"/>
        <w:rPr>
          <w:rFonts w:ascii="Arial" w:hAnsi="Arial" w:cs="Arial"/>
          <w:b/>
          <w:bCs/>
          <w:color w:val="000000"/>
          <w:lang w:val="en-ZA"/>
        </w:rPr>
      </w:pPr>
      <w:r w:rsidRPr="00266CB4">
        <w:rPr>
          <w:rFonts w:ascii="Arial" w:hAnsi="Arial" w:cs="Arial"/>
          <w:b/>
          <w:bCs/>
          <w:color w:val="000000"/>
          <w:lang w:val="en-ZA"/>
        </w:rPr>
        <w:t xml:space="preserve">COMMITTEE FOR AUDITING STANDARDS </w:t>
      </w:r>
    </w:p>
    <w:tbl>
      <w:tblPr>
        <w:tblStyle w:val="TableGrid"/>
        <w:tblW w:w="0" w:type="auto"/>
        <w:tblLook w:val="04A0" w:firstRow="1" w:lastRow="0" w:firstColumn="1" w:lastColumn="0" w:noHBand="0" w:noVBand="1"/>
      </w:tblPr>
      <w:tblGrid>
        <w:gridCol w:w="9746"/>
      </w:tblGrid>
      <w:tr w:rsidR="00E51DBB" w:rsidTr="00E51DBB">
        <w:tc>
          <w:tcPr>
            <w:tcW w:w="9962" w:type="dxa"/>
            <w:tcBorders>
              <w:top w:val="nil"/>
              <w:left w:val="nil"/>
              <w:bottom w:val="nil"/>
              <w:right w:val="nil"/>
            </w:tcBorders>
          </w:tcPr>
          <w:p w:rsidR="00E51DBB" w:rsidRPr="00266CB4" w:rsidRDefault="00E51DBB" w:rsidP="00E51DBB">
            <w:pPr>
              <w:spacing w:after="120" w:line="276" w:lineRule="auto"/>
              <w:jc w:val="center"/>
              <w:rPr>
                <w:rFonts w:ascii="Arial" w:hAnsi="Arial" w:cs="Arial"/>
                <w:b/>
                <w:sz w:val="22"/>
                <w:szCs w:val="22"/>
                <w:lang w:val="en-ZA"/>
              </w:rPr>
            </w:pPr>
            <w:r w:rsidRPr="004E002C">
              <w:rPr>
                <w:rFonts w:ascii="Arial" w:hAnsi="Arial" w:cs="Arial"/>
                <w:b/>
                <w:bCs/>
                <w:i/>
                <w:iCs/>
                <w:sz w:val="22"/>
                <w:szCs w:val="22"/>
              </w:rPr>
              <w:t>Revised Guide for Registered Auditors:</w:t>
            </w:r>
          </w:p>
          <w:p w:rsidR="00E51DBB" w:rsidRPr="004E002C" w:rsidRDefault="00E51DBB" w:rsidP="00E51DBB">
            <w:pPr>
              <w:spacing w:after="120" w:line="276" w:lineRule="auto"/>
              <w:jc w:val="center"/>
              <w:rPr>
                <w:rFonts w:ascii="Arial" w:hAnsi="Arial" w:cs="Arial"/>
                <w:b/>
                <w:bCs/>
                <w:i/>
                <w:iCs/>
                <w:sz w:val="22"/>
                <w:szCs w:val="22"/>
                <w:lang w:val="en-ZA"/>
              </w:rPr>
            </w:pPr>
            <w:r w:rsidRPr="004E002C">
              <w:rPr>
                <w:rFonts w:ascii="Arial" w:hAnsi="Arial" w:cs="Arial"/>
                <w:b/>
                <w:bCs/>
                <w:i/>
                <w:iCs/>
                <w:sz w:val="22"/>
                <w:szCs w:val="22"/>
                <w:lang w:val="en-GB"/>
              </w:rPr>
              <w:t>Access to Working Papers</w:t>
            </w:r>
          </w:p>
          <w:p w:rsidR="00E51DBB" w:rsidRPr="00266CB4" w:rsidRDefault="00E51DBB" w:rsidP="00E51DBB">
            <w:pPr>
              <w:spacing w:before="120" w:after="120" w:line="276" w:lineRule="auto"/>
              <w:jc w:val="center"/>
              <w:rPr>
                <w:rFonts w:ascii="Arial" w:hAnsi="Arial" w:cs="Arial"/>
                <w:sz w:val="22"/>
                <w:szCs w:val="22"/>
                <w:lang w:val="en-ZA"/>
              </w:rPr>
            </w:pPr>
            <w:r w:rsidRPr="00266CB4">
              <w:rPr>
                <w:rFonts w:ascii="Arial" w:hAnsi="Arial" w:cs="Arial"/>
                <w:sz w:val="22"/>
                <w:szCs w:val="22"/>
                <w:lang w:val="en-ZA"/>
              </w:rPr>
              <w:t xml:space="preserve">Johannesburg / </w:t>
            </w:r>
            <w:r>
              <w:rPr>
                <w:rFonts w:ascii="Arial" w:hAnsi="Arial" w:cs="Arial"/>
                <w:sz w:val="22"/>
                <w:szCs w:val="22"/>
                <w:lang w:val="en-ZA"/>
              </w:rPr>
              <w:t>5</w:t>
            </w:r>
            <w:r w:rsidRPr="00266CB4">
              <w:rPr>
                <w:rFonts w:ascii="Arial" w:hAnsi="Arial" w:cs="Arial"/>
                <w:sz w:val="22"/>
                <w:szCs w:val="22"/>
                <w:lang w:val="en-ZA"/>
              </w:rPr>
              <w:t xml:space="preserve"> </w:t>
            </w:r>
            <w:r>
              <w:rPr>
                <w:rFonts w:ascii="Arial" w:hAnsi="Arial" w:cs="Arial"/>
                <w:sz w:val="22"/>
                <w:szCs w:val="22"/>
                <w:lang w:val="en-ZA"/>
              </w:rPr>
              <w:t>June</w:t>
            </w:r>
            <w:r w:rsidRPr="00266CB4">
              <w:rPr>
                <w:rFonts w:ascii="Arial" w:hAnsi="Arial" w:cs="Arial"/>
                <w:sz w:val="22"/>
                <w:szCs w:val="22"/>
                <w:lang w:val="en-ZA"/>
              </w:rPr>
              <w:t xml:space="preserve"> 2018</w:t>
            </w:r>
          </w:p>
          <w:p w:rsidR="00E51DBB" w:rsidRPr="00266CB4" w:rsidRDefault="00E51DBB" w:rsidP="00E51DBB">
            <w:pPr>
              <w:spacing w:before="120" w:after="120" w:line="276" w:lineRule="auto"/>
              <w:jc w:val="center"/>
              <w:rPr>
                <w:rFonts w:ascii="Arial" w:hAnsi="Arial" w:cs="Arial"/>
                <w:sz w:val="22"/>
                <w:szCs w:val="22"/>
                <w:lang w:val="en-ZA"/>
              </w:rPr>
            </w:pPr>
          </w:p>
          <w:p w:rsidR="00E51DBB" w:rsidRPr="00266CB4" w:rsidRDefault="00E51DBB" w:rsidP="00E51DBB">
            <w:pPr>
              <w:pStyle w:val="NormalWeb"/>
              <w:spacing w:before="120" w:beforeAutospacing="0" w:after="120" w:afterAutospacing="0" w:line="276" w:lineRule="auto"/>
              <w:jc w:val="both"/>
              <w:rPr>
                <w:rFonts w:ascii="Arial" w:hAnsi="Arial" w:cs="Arial"/>
                <w:sz w:val="22"/>
                <w:szCs w:val="22"/>
                <w:lang w:val="en-ZA"/>
              </w:rPr>
            </w:pPr>
            <w:r w:rsidRPr="00266CB4">
              <w:rPr>
                <w:rFonts w:ascii="Arial" w:hAnsi="Arial" w:cs="Arial"/>
                <w:sz w:val="22"/>
                <w:szCs w:val="22"/>
                <w:lang w:val="en-ZA"/>
              </w:rPr>
              <w:t>The Independent Regulatory Board for Auditors</w:t>
            </w:r>
            <w:r w:rsidR="009F6E8F">
              <w:rPr>
                <w:rFonts w:ascii="Calibri" w:hAnsi="Calibri" w:cs="Calibri"/>
                <w:sz w:val="22"/>
                <w:szCs w:val="22"/>
                <w:lang w:val="en-ZA"/>
              </w:rPr>
              <w:t>'</w:t>
            </w:r>
            <w:r w:rsidRPr="00266CB4">
              <w:rPr>
                <w:rFonts w:ascii="Arial" w:hAnsi="Arial" w:cs="Arial"/>
                <w:sz w:val="22"/>
                <w:szCs w:val="22"/>
                <w:lang w:val="en-ZA"/>
              </w:rPr>
              <w:t xml:space="preserve"> (IRBA) Committee for Auditing Standards (CFAS) approved the release of</w:t>
            </w:r>
            <w:r>
              <w:rPr>
                <w:rFonts w:ascii="Arial" w:hAnsi="Arial" w:cs="Arial"/>
                <w:sz w:val="22"/>
                <w:szCs w:val="22"/>
                <w:lang w:val="en-ZA"/>
              </w:rPr>
              <w:t xml:space="preserve"> the </w:t>
            </w:r>
            <w:r w:rsidRPr="004E002C">
              <w:rPr>
                <w:rFonts w:ascii="Arial" w:hAnsi="Arial" w:cs="Arial"/>
                <w:i/>
                <w:iCs/>
                <w:sz w:val="22"/>
                <w:szCs w:val="22"/>
                <w:lang w:val="en-GB"/>
              </w:rPr>
              <w:t>Revised Guide for Registered Auditors:</w:t>
            </w:r>
            <w:r w:rsidRPr="004E002C">
              <w:rPr>
                <w:rFonts w:ascii="Arial" w:hAnsi="Arial" w:cs="Arial"/>
                <w:b/>
                <w:bCs/>
                <w:i/>
                <w:iCs/>
                <w:sz w:val="22"/>
                <w:szCs w:val="22"/>
                <w:lang w:val="en-GB"/>
              </w:rPr>
              <w:t xml:space="preserve"> </w:t>
            </w:r>
            <w:r w:rsidRPr="004E002C">
              <w:rPr>
                <w:rFonts w:ascii="Arial" w:hAnsi="Arial" w:cs="Arial"/>
                <w:i/>
                <w:iCs/>
                <w:sz w:val="22"/>
                <w:szCs w:val="22"/>
                <w:lang w:val="en-GB"/>
              </w:rPr>
              <w:t xml:space="preserve">Access to Working Papers </w:t>
            </w:r>
            <w:r w:rsidRPr="003065B6">
              <w:rPr>
                <w:rFonts w:ascii="Arial" w:hAnsi="Arial" w:cs="Arial"/>
                <w:iCs/>
                <w:sz w:val="22"/>
                <w:szCs w:val="22"/>
              </w:rPr>
              <w:t>(this Revised Guide)</w:t>
            </w:r>
            <w:r w:rsidRPr="00266CB4">
              <w:rPr>
                <w:rFonts w:ascii="Arial" w:hAnsi="Arial" w:cs="Arial"/>
                <w:sz w:val="22"/>
                <w:szCs w:val="22"/>
                <w:lang w:val="en-ZA"/>
              </w:rPr>
              <w:t xml:space="preserve"> in </w:t>
            </w:r>
            <w:r>
              <w:rPr>
                <w:rFonts w:ascii="Arial" w:hAnsi="Arial" w:cs="Arial"/>
                <w:sz w:val="22"/>
                <w:szCs w:val="22"/>
                <w:lang w:val="en-ZA"/>
              </w:rPr>
              <w:t>May</w:t>
            </w:r>
            <w:r w:rsidRPr="00266CB4">
              <w:rPr>
                <w:rFonts w:ascii="Arial" w:hAnsi="Arial" w:cs="Arial"/>
                <w:sz w:val="22"/>
                <w:szCs w:val="22"/>
                <w:lang w:val="en-ZA"/>
              </w:rPr>
              <w:t xml:space="preserve"> 2018 for issue.</w:t>
            </w:r>
            <w:bookmarkStart w:id="0" w:name="_GoBack"/>
            <w:bookmarkEnd w:id="0"/>
          </w:p>
          <w:p w:rsidR="00E51DBB" w:rsidRPr="004E002C" w:rsidRDefault="00E51DBB" w:rsidP="00E51DBB">
            <w:pPr>
              <w:spacing w:after="120" w:line="271" w:lineRule="auto"/>
              <w:jc w:val="both"/>
              <w:rPr>
                <w:rFonts w:ascii="Arial" w:eastAsiaTheme="minorHAnsi" w:hAnsi="Arial" w:cs="Arial"/>
                <w:sz w:val="22"/>
                <w:szCs w:val="22"/>
                <w:lang w:val="en-GB"/>
              </w:rPr>
            </w:pPr>
            <w:r w:rsidRPr="004E002C">
              <w:rPr>
                <w:rFonts w:ascii="Arial" w:eastAsiaTheme="minorHAnsi" w:hAnsi="Arial" w:cs="Arial"/>
                <w:sz w:val="22"/>
                <w:szCs w:val="22"/>
                <w:lang w:val="en-GB"/>
              </w:rPr>
              <w:t xml:space="preserve">This Revised Guide deals with the circumstances in which registered auditors (auditors) or firms are requested or required to grant access to working papers to the client, to another auditor or to a third party that support an auditor's opinion, conclusion and/or report on financial statements or other financial or non-financial information, where such engagements are </w:t>
            </w:r>
            <w:r w:rsidRPr="004E002C">
              <w:rPr>
                <w:rFonts w:ascii="Arial" w:eastAsiaTheme="minorHAnsi" w:hAnsi="Arial" w:cs="Arial"/>
                <w:sz w:val="22"/>
                <w:szCs w:val="22"/>
                <w:lang w:val="en-ZA"/>
              </w:rPr>
              <w:t xml:space="preserve">governed by auditing pronouncements, as prescribed or issued by the IRBA and which include the Standards of the International Auditing and Assurance Standards </w:t>
            </w:r>
            <w:r w:rsidRPr="003065B6">
              <w:rPr>
                <w:rFonts w:ascii="Arial" w:eastAsiaTheme="minorHAnsi" w:hAnsi="Arial" w:cs="Arial"/>
                <w:sz w:val="22"/>
                <w:szCs w:val="22"/>
                <w:lang w:val="en-ZA"/>
              </w:rPr>
              <w:t>Board (</w:t>
            </w:r>
            <w:r w:rsidRPr="004E002C">
              <w:rPr>
                <w:rFonts w:ascii="Arial" w:eastAsiaTheme="minorHAnsi" w:hAnsi="Arial" w:cs="Arial"/>
                <w:sz w:val="22"/>
                <w:szCs w:val="22"/>
                <w:lang w:val="en-ZA"/>
              </w:rPr>
              <w:t>IAASB)</w:t>
            </w:r>
            <w:r w:rsidRPr="004E002C">
              <w:rPr>
                <w:rFonts w:ascii="Arial" w:eastAsiaTheme="minorHAnsi" w:hAnsi="Arial" w:cs="Arial"/>
                <w:sz w:val="22"/>
                <w:szCs w:val="22"/>
                <w:lang w:val="en-GB"/>
              </w:rPr>
              <w:t>.</w:t>
            </w:r>
          </w:p>
          <w:p w:rsidR="00E51DBB" w:rsidRPr="004E002C" w:rsidRDefault="00E51DBB" w:rsidP="00E51DBB">
            <w:pPr>
              <w:spacing w:after="120" w:line="271" w:lineRule="auto"/>
              <w:jc w:val="both"/>
              <w:rPr>
                <w:rFonts w:ascii="Arial" w:eastAsiaTheme="minorHAnsi" w:hAnsi="Arial" w:cs="Arial"/>
                <w:sz w:val="22"/>
                <w:szCs w:val="22"/>
                <w:lang w:val="en-GB"/>
              </w:rPr>
            </w:pPr>
            <w:r w:rsidRPr="004E002C">
              <w:rPr>
                <w:rFonts w:ascii="Arial" w:eastAsiaTheme="minorHAnsi" w:hAnsi="Arial" w:cs="Arial"/>
                <w:sz w:val="22"/>
                <w:szCs w:val="22"/>
                <w:lang w:val="en-GB"/>
              </w:rPr>
              <w:t>Guidance is provided in respect of access requested or required in the following circumstances:</w:t>
            </w:r>
          </w:p>
          <w:p w:rsidR="00E51DBB" w:rsidRPr="004E002C" w:rsidRDefault="00E51DBB" w:rsidP="00E51DBB">
            <w:pPr>
              <w:numPr>
                <w:ilvl w:val="0"/>
                <w:numId w:val="15"/>
              </w:numPr>
              <w:spacing w:after="120" w:line="271" w:lineRule="auto"/>
              <w:jc w:val="both"/>
              <w:rPr>
                <w:rFonts w:ascii="Arial" w:eastAsiaTheme="minorHAnsi" w:hAnsi="Arial" w:cs="Arial"/>
                <w:sz w:val="22"/>
                <w:szCs w:val="22"/>
                <w:lang w:val="en-ZA"/>
              </w:rPr>
            </w:pPr>
            <w:r w:rsidRPr="004E002C">
              <w:rPr>
                <w:rFonts w:ascii="Arial" w:eastAsiaTheme="minorHAnsi" w:hAnsi="Arial" w:cs="Arial"/>
                <w:sz w:val="22"/>
                <w:szCs w:val="22"/>
                <w:lang w:val="en-ZA"/>
              </w:rPr>
              <w:t>Access required by law;</w:t>
            </w:r>
          </w:p>
          <w:p w:rsidR="00E51DBB" w:rsidRPr="004E002C" w:rsidRDefault="00E51DBB" w:rsidP="00E51DBB">
            <w:pPr>
              <w:numPr>
                <w:ilvl w:val="0"/>
                <w:numId w:val="15"/>
              </w:numPr>
              <w:spacing w:after="120" w:line="271" w:lineRule="auto"/>
              <w:jc w:val="both"/>
              <w:rPr>
                <w:rFonts w:ascii="Arial" w:eastAsiaTheme="minorHAnsi" w:hAnsi="Arial" w:cs="Arial"/>
                <w:sz w:val="22"/>
                <w:szCs w:val="22"/>
                <w:lang w:val="en-ZA"/>
              </w:rPr>
            </w:pPr>
            <w:r w:rsidRPr="004E002C">
              <w:rPr>
                <w:rFonts w:ascii="Arial" w:eastAsiaTheme="minorHAnsi" w:hAnsi="Arial" w:cs="Arial"/>
                <w:sz w:val="22"/>
                <w:szCs w:val="22"/>
                <w:lang w:val="en-ZA"/>
              </w:rPr>
              <w:t xml:space="preserve">Access required in compliance with </w:t>
            </w:r>
            <w:r w:rsidRPr="004E002C">
              <w:rPr>
                <w:rFonts w:ascii="Arial" w:eastAsiaTheme="minorHAnsi" w:hAnsi="Arial" w:cs="Arial"/>
                <w:i/>
                <w:sz w:val="22"/>
                <w:szCs w:val="22"/>
                <w:lang w:val="en-ZA"/>
              </w:rPr>
              <w:t xml:space="preserve">International Standards on Auditing </w:t>
            </w:r>
            <w:r w:rsidRPr="004E002C">
              <w:rPr>
                <w:rFonts w:ascii="Arial" w:eastAsiaTheme="minorHAnsi" w:hAnsi="Arial" w:cs="Arial"/>
                <w:sz w:val="22"/>
                <w:szCs w:val="22"/>
                <w:lang w:val="en-ZA"/>
              </w:rPr>
              <w:t>(ISAs)</w:t>
            </w:r>
            <w:r w:rsidRPr="004E002C">
              <w:rPr>
                <w:rFonts w:ascii="Arial" w:eastAsiaTheme="minorHAnsi" w:hAnsi="Arial" w:cs="Arial"/>
                <w:i/>
                <w:sz w:val="22"/>
                <w:szCs w:val="22"/>
                <w:lang w:val="en-ZA"/>
              </w:rPr>
              <w:t xml:space="preserve"> </w:t>
            </w:r>
            <w:r w:rsidRPr="004E002C">
              <w:rPr>
                <w:rFonts w:ascii="Arial" w:eastAsiaTheme="minorHAnsi" w:hAnsi="Arial" w:cs="Arial"/>
                <w:sz w:val="22"/>
                <w:szCs w:val="22"/>
                <w:lang w:val="en-ZA"/>
              </w:rPr>
              <w:t>and</w:t>
            </w:r>
            <w:r w:rsidRPr="004E002C">
              <w:rPr>
                <w:rFonts w:ascii="Arial" w:eastAsiaTheme="minorHAnsi" w:hAnsi="Arial" w:cs="Arial"/>
                <w:i/>
                <w:sz w:val="22"/>
                <w:szCs w:val="22"/>
                <w:lang w:val="en-ZA"/>
              </w:rPr>
              <w:t xml:space="preserve"> International Standards on Assurance Engagements</w:t>
            </w:r>
            <w:r w:rsidRPr="004E002C">
              <w:rPr>
                <w:rFonts w:ascii="Arial" w:eastAsiaTheme="minorHAnsi" w:hAnsi="Arial" w:cs="Arial"/>
                <w:sz w:val="22"/>
                <w:szCs w:val="22"/>
                <w:lang w:val="en-ZA"/>
              </w:rPr>
              <w:t xml:space="preserve"> (ISAEs), or the IRBA </w:t>
            </w:r>
            <w:r w:rsidRPr="004E002C">
              <w:rPr>
                <w:rFonts w:ascii="Arial" w:eastAsiaTheme="minorHAnsi" w:hAnsi="Arial" w:cs="Arial"/>
                <w:i/>
                <w:sz w:val="22"/>
                <w:szCs w:val="22"/>
                <w:lang w:val="en-ZA"/>
              </w:rPr>
              <w:t xml:space="preserve">Code of Professional Conduct for Registered Auditors </w:t>
            </w:r>
            <w:r w:rsidRPr="004E002C">
              <w:rPr>
                <w:rFonts w:ascii="Arial" w:eastAsiaTheme="minorHAnsi" w:hAnsi="Arial" w:cs="Arial"/>
                <w:sz w:val="22"/>
                <w:szCs w:val="22"/>
                <w:lang w:val="en-ZA"/>
              </w:rPr>
              <w:t>(the Code) and any other auditing pronouncements prescribed or issued by the IRBA, by the group engagement partner or component auditor in a group audit engagement; and by a successor auditor/s where there is a change from the predecessor auditor/s; and</w:t>
            </w:r>
          </w:p>
          <w:p w:rsidR="00E51DBB" w:rsidRPr="004E002C" w:rsidRDefault="00E51DBB" w:rsidP="00E51DBB">
            <w:pPr>
              <w:numPr>
                <w:ilvl w:val="0"/>
                <w:numId w:val="15"/>
              </w:numPr>
              <w:spacing w:after="120" w:line="271" w:lineRule="auto"/>
              <w:jc w:val="both"/>
              <w:rPr>
                <w:rFonts w:ascii="Arial" w:eastAsiaTheme="minorHAnsi" w:hAnsi="Arial" w:cs="Arial"/>
                <w:sz w:val="22"/>
                <w:szCs w:val="22"/>
                <w:lang w:val="en-ZA"/>
              </w:rPr>
            </w:pPr>
            <w:r w:rsidRPr="004E002C">
              <w:rPr>
                <w:rFonts w:ascii="Arial" w:eastAsiaTheme="minorHAnsi" w:hAnsi="Arial" w:cs="Arial"/>
                <w:sz w:val="22"/>
                <w:szCs w:val="22"/>
                <w:lang w:val="en-ZA"/>
              </w:rPr>
              <w:t>Access requested in terms of a contractual agreement.</w:t>
            </w:r>
          </w:p>
          <w:p w:rsidR="00E51DBB" w:rsidRPr="004E002C" w:rsidRDefault="00E51DBB" w:rsidP="00E51DBB">
            <w:pPr>
              <w:spacing w:after="120" w:line="271" w:lineRule="auto"/>
              <w:jc w:val="both"/>
              <w:rPr>
                <w:rFonts w:ascii="Arial" w:eastAsiaTheme="minorHAnsi" w:hAnsi="Arial" w:cs="Arial"/>
                <w:sz w:val="22"/>
                <w:szCs w:val="22"/>
                <w:lang w:val="en-ZA"/>
              </w:rPr>
            </w:pPr>
            <w:r>
              <w:rPr>
                <w:rFonts w:ascii="Arial" w:eastAsiaTheme="minorHAnsi" w:hAnsi="Arial" w:cs="Arial"/>
                <w:sz w:val="22"/>
                <w:szCs w:val="22"/>
                <w:lang w:val="en-ZA"/>
              </w:rPr>
              <w:t>In summary, t</w:t>
            </w:r>
            <w:r w:rsidRPr="004E002C">
              <w:rPr>
                <w:rFonts w:ascii="Arial" w:eastAsiaTheme="minorHAnsi" w:hAnsi="Arial" w:cs="Arial"/>
                <w:sz w:val="22"/>
                <w:szCs w:val="22"/>
                <w:lang w:val="en-ZA"/>
              </w:rPr>
              <w:t>his Revised Guide has been updated for the following:</w:t>
            </w:r>
          </w:p>
          <w:p w:rsidR="00E51DBB" w:rsidRPr="004E002C" w:rsidRDefault="00E51DBB" w:rsidP="00E51DBB">
            <w:pPr>
              <w:numPr>
                <w:ilvl w:val="0"/>
                <w:numId w:val="16"/>
              </w:numPr>
              <w:spacing w:after="120" w:line="271" w:lineRule="auto"/>
              <w:jc w:val="both"/>
              <w:rPr>
                <w:rFonts w:ascii="Arial" w:eastAsiaTheme="minorHAnsi" w:hAnsi="Arial" w:cs="Arial"/>
                <w:sz w:val="22"/>
                <w:szCs w:val="22"/>
                <w:u w:val="single"/>
                <w:lang w:val="en-ZA"/>
              </w:rPr>
            </w:pPr>
            <w:r w:rsidRPr="004E002C">
              <w:rPr>
                <w:rFonts w:ascii="Arial" w:eastAsiaTheme="minorHAnsi" w:hAnsi="Arial" w:cs="Arial"/>
                <w:sz w:val="22"/>
                <w:szCs w:val="22"/>
                <w:lang w:val="en-ZA"/>
              </w:rPr>
              <w:t>Changes to legislation.</w:t>
            </w:r>
          </w:p>
          <w:p w:rsidR="00E51DBB" w:rsidRPr="004E002C" w:rsidRDefault="00E51DBB" w:rsidP="00E51DBB">
            <w:pPr>
              <w:numPr>
                <w:ilvl w:val="0"/>
                <w:numId w:val="16"/>
              </w:numPr>
              <w:spacing w:after="120" w:line="271" w:lineRule="auto"/>
              <w:jc w:val="both"/>
              <w:rPr>
                <w:rFonts w:ascii="Arial" w:eastAsiaTheme="minorHAnsi" w:hAnsi="Arial" w:cs="Arial"/>
                <w:sz w:val="22"/>
                <w:szCs w:val="22"/>
                <w:lang w:val="en-ZA"/>
              </w:rPr>
            </w:pPr>
            <w:r w:rsidRPr="004E002C">
              <w:rPr>
                <w:rFonts w:ascii="Arial" w:eastAsiaTheme="minorHAnsi" w:hAnsi="Arial" w:cs="Arial"/>
                <w:sz w:val="22"/>
                <w:szCs w:val="22"/>
                <w:lang w:val="en-ZA"/>
              </w:rPr>
              <w:t>Updates in terms of relevant revisions of the ISAs, ISAEs and the Code.</w:t>
            </w:r>
          </w:p>
          <w:p w:rsidR="00E51DBB" w:rsidRPr="004E002C" w:rsidRDefault="00E51DBB" w:rsidP="00E51DBB">
            <w:pPr>
              <w:numPr>
                <w:ilvl w:val="0"/>
                <w:numId w:val="16"/>
              </w:numPr>
              <w:spacing w:after="120" w:line="271" w:lineRule="auto"/>
              <w:jc w:val="both"/>
              <w:rPr>
                <w:rFonts w:ascii="Arial" w:eastAsiaTheme="minorHAnsi" w:hAnsi="Arial" w:cs="Arial"/>
                <w:sz w:val="22"/>
                <w:szCs w:val="22"/>
                <w:lang w:val="en-ZA"/>
              </w:rPr>
            </w:pPr>
            <w:r w:rsidRPr="004E002C">
              <w:rPr>
                <w:rFonts w:ascii="Arial" w:eastAsiaTheme="minorHAnsi" w:hAnsi="Arial" w:cs="Arial"/>
                <w:sz w:val="22"/>
                <w:szCs w:val="22"/>
                <w:lang w:val="en-ZA"/>
              </w:rPr>
              <w:t>Added paragraphs relating to the confidentiality of client information.</w:t>
            </w:r>
          </w:p>
          <w:p w:rsidR="00E51DBB" w:rsidRPr="004E002C" w:rsidRDefault="00E51DBB" w:rsidP="00E51DBB">
            <w:pPr>
              <w:numPr>
                <w:ilvl w:val="0"/>
                <w:numId w:val="16"/>
              </w:numPr>
              <w:spacing w:after="240" w:line="271" w:lineRule="auto"/>
              <w:ind w:left="418"/>
              <w:jc w:val="both"/>
              <w:rPr>
                <w:rFonts w:ascii="Arial" w:eastAsiaTheme="minorHAnsi" w:hAnsi="Arial" w:cs="Arial"/>
                <w:sz w:val="22"/>
                <w:szCs w:val="22"/>
                <w:lang w:val="en-ZA"/>
              </w:rPr>
            </w:pPr>
            <w:r>
              <w:rPr>
                <w:rFonts w:ascii="Arial" w:eastAsiaTheme="minorHAnsi" w:hAnsi="Arial" w:cs="Arial"/>
                <w:sz w:val="22"/>
                <w:szCs w:val="22"/>
                <w:lang w:val="en-ZA"/>
              </w:rPr>
              <w:t>Clarification</w:t>
            </w:r>
            <w:r w:rsidRPr="004E002C">
              <w:rPr>
                <w:rFonts w:ascii="Arial" w:eastAsiaTheme="minorHAnsi" w:hAnsi="Arial" w:cs="Arial"/>
                <w:sz w:val="22"/>
                <w:szCs w:val="22"/>
                <w:lang w:val="en-ZA"/>
              </w:rPr>
              <w:t xml:space="preserve"> that this Revised Guide is also applicable to joint engagements (contractual agreement)</w:t>
            </w:r>
            <w:r w:rsidRPr="004E002C">
              <w:rPr>
                <w:rFonts w:ascii="Arial" w:eastAsiaTheme="minorHAnsi" w:hAnsi="Arial" w:cs="Arial"/>
                <w:sz w:val="22"/>
                <w:szCs w:val="22"/>
                <w:lang w:val="en-GB"/>
              </w:rPr>
              <w:t>.</w:t>
            </w:r>
          </w:p>
          <w:p w:rsidR="00E51DBB" w:rsidRPr="004E002C" w:rsidRDefault="00E51DBB" w:rsidP="00E51DBB">
            <w:pPr>
              <w:spacing w:after="120" w:line="271" w:lineRule="auto"/>
              <w:jc w:val="both"/>
              <w:rPr>
                <w:rFonts w:ascii="Arial" w:eastAsiaTheme="minorHAnsi" w:hAnsi="Arial" w:cs="Arial"/>
                <w:b/>
                <w:sz w:val="22"/>
                <w:szCs w:val="22"/>
                <w:lang w:val="en-ZA"/>
              </w:rPr>
            </w:pPr>
            <w:r w:rsidRPr="004E002C">
              <w:rPr>
                <w:rFonts w:ascii="Arial" w:eastAsiaTheme="minorHAnsi" w:hAnsi="Arial" w:cs="Arial"/>
                <w:b/>
                <w:sz w:val="22"/>
                <w:szCs w:val="22"/>
                <w:lang w:val="en-ZA"/>
              </w:rPr>
              <w:t>Effective date</w:t>
            </w:r>
          </w:p>
          <w:p w:rsidR="00E51DBB" w:rsidRPr="00266CB4" w:rsidRDefault="00E51DBB" w:rsidP="00E51DBB">
            <w:pPr>
              <w:pStyle w:val="NormalWeb"/>
              <w:spacing w:before="120" w:beforeAutospacing="0" w:after="120" w:afterAutospacing="0" w:line="276" w:lineRule="auto"/>
              <w:jc w:val="both"/>
              <w:rPr>
                <w:rFonts w:cs="Arial"/>
                <w:szCs w:val="22"/>
              </w:rPr>
            </w:pPr>
            <w:r w:rsidRPr="004E002C">
              <w:rPr>
                <w:rFonts w:ascii="Arial" w:eastAsiaTheme="minorHAnsi" w:hAnsi="Arial" w:cs="Arial"/>
                <w:sz w:val="22"/>
                <w:szCs w:val="22"/>
                <w:lang w:val="en-ZA"/>
              </w:rPr>
              <w:t>This Revised Guide is effective from the date of issue.</w:t>
            </w:r>
          </w:p>
          <w:p w:rsidR="00E51DBB" w:rsidRPr="00266CB4" w:rsidRDefault="00E51DBB" w:rsidP="00E51DBB">
            <w:pPr>
              <w:pStyle w:val="NormalWeb"/>
              <w:spacing w:before="120" w:beforeAutospacing="0" w:after="120" w:afterAutospacing="0" w:line="276" w:lineRule="auto"/>
              <w:jc w:val="both"/>
              <w:rPr>
                <w:rFonts w:ascii="Arial" w:hAnsi="Arial" w:cs="Arial"/>
                <w:sz w:val="22"/>
                <w:szCs w:val="22"/>
                <w:lang w:val="en-ZA"/>
              </w:rPr>
            </w:pPr>
            <w:r>
              <w:rPr>
                <w:rFonts w:ascii="Arial" w:hAnsi="Arial" w:cs="Arial"/>
                <w:sz w:val="22"/>
                <w:szCs w:val="22"/>
                <w:lang w:val="en-ZA"/>
              </w:rPr>
              <w:t>Also, this Revised</w:t>
            </w:r>
            <w:r w:rsidRPr="00266CB4">
              <w:rPr>
                <w:rFonts w:ascii="Arial" w:hAnsi="Arial" w:cs="Arial"/>
                <w:sz w:val="22"/>
                <w:szCs w:val="22"/>
                <w:lang w:val="en-ZA"/>
              </w:rPr>
              <w:t xml:space="preserve"> </w:t>
            </w:r>
            <w:r>
              <w:rPr>
                <w:rFonts w:ascii="Arial" w:hAnsi="Arial" w:cs="Arial"/>
                <w:sz w:val="22"/>
                <w:szCs w:val="22"/>
                <w:lang w:val="en-ZA"/>
              </w:rPr>
              <w:t xml:space="preserve">Guide </w:t>
            </w:r>
            <w:r w:rsidRPr="00266CB4">
              <w:rPr>
                <w:rFonts w:ascii="Arial" w:hAnsi="Arial" w:cs="Arial"/>
                <w:sz w:val="22"/>
                <w:szCs w:val="22"/>
                <w:lang w:val="en-ZA"/>
              </w:rPr>
              <w:t xml:space="preserve">is available in </w:t>
            </w:r>
            <w:r>
              <w:rPr>
                <w:rFonts w:ascii="Arial" w:hAnsi="Arial" w:cs="Arial"/>
                <w:sz w:val="22"/>
                <w:szCs w:val="22"/>
                <w:lang w:val="en-ZA"/>
              </w:rPr>
              <w:t xml:space="preserve">both Word and </w:t>
            </w:r>
            <w:r w:rsidRPr="00266CB4">
              <w:rPr>
                <w:rFonts w:ascii="Arial" w:hAnsi="Arial" w:cs="Arial"/>
                <w:sz w:val="22"/>
                <w:szCs w:val="22"/>
                <w:lang w:val="en-ZA"/>
              </w:rPr>
              <w:t>PDF format</w:t>
            </w:r>
            <w:r>
              <w:rPr>
                <w:rFonts w:ascii="Arial" w:hAnsi="Arial" w:cs="Arial"/>
                <w:sz w:val="22"/>
                <w:szCs w:val="22"/>
                <w:lang w:val="en-ZA"/>
              </w:rPr>
              <w:t>s</w:t>
            </w:r>
            <w:r w:rsidRPr="00266CB4">
              <w:rPr>
                <w:rFonts w:ascii="Arial" w:hAnsi="Arial" w:cs="Arial"/>
                <w:sz w:val="22"/>
                <w:szCs w:val="22"/>
                <w:lang w:val="en-ZA"/>
              </w:rPr>
              <w:t xml:space="preserve"> and may be downloaded from the</w:t>
            </w:r>
            <w:r w:rsidRPr="00266CB4">
              <w:rPr>
                <w:rStyle w:val="Hyperlink"/>
                <w:rFonts w:ascii="Arial" w:hAnsi="Arial" w:cs="Arial"/>
                <w:color w:val="auto"/>
                <w:sz w:val="22"/>
                <w:szCs w:val="22"/>
                <w:u w:val="none"/>
                <w:lang w:val="en-ZA"/>
              </w:rPr>
              <w:t xml:space="preserve"> IRBA website at </w:t>
            </w:r>
            <w:hyperlink r:id="rId8" w:history="1">
              <w:r w:rsidRPr="00266CB4">
                <w:rPr>
                  <w:rStyle w:val="Hyperlink"/>
                  <w:rFonts w:ascii="Arial" w:hAnsi="Arial" w:cs="Arial"/>
                  <w:sz w:val="22"/>
                  <w:szCs w:val="22"/>
                  <w:lang w:val="en-ZA"/>
                </w:rPr>
                <w:t>www.irba.co.za</w:t>
              </w:r>
            </w:hyperlink>
            <w:r w:rsidRPr="00266CB4">
              <w:rPr>
                <w:rFonts w:ascii="Arial" w:hAnsi="Arial" w:cs="Arial"/>
                <w:sz w:val="22"/>
                <w:szCs w:val="22"/>
                <w:lang w:val="en-ZA"/>
              </w:rPr>
              <w:t>. Should you have any other queries</w:t>
            </w:r>
            <w:r>
              <w:rPr>
                <w:rFonts w:ascii="Arial" w:hAnsi="Arial" w:cs="Arial"/>
                <w:sz w:val="22"/>
                <w:szCs w:val="22"/>
                <w:lang w:val="en-ZA"/>
              </w:rPr>
              <w:t>,</w:t>
            </w:r>
            <w:r w:rsidRPr="00266CB4">
              <w:rPr>
                <w:rFonts w:ascii="Arial" w:hAnsi="Arial" w:cs="Arial"/>
                <w:sz w:val="22"/>
                <w:szCs w:val="22"/>
                <w:lang w:val="en-ZA"/>
              </w:rPr>
              <w:t xml:space="preserve"> please do not hesitate to contact the Standards Department by sending an email to </w:t>
            </w:r>
            <w:hyperlink r:id="rId9" w:history="1">
              <w:r w:rsidRPr="00266CB4">
                <w:rPr>
                  <w:rStyle w:val="Hyperlink"/>
                  <w:rFonts w:ascii="Arial" w:hAnsi="Arial" w:cs="Arial"/>
                  <w:sz w:val="22"/>
                  <w:szCs w:val="22"/>
                  <w:lang w:val="en-ZA"/>
                </w:rPr>
                <w:t>standards@irba.co.za</w:t>
              </w:r>
            </w:hyperlink>
            <w:r w:rsidRPr="00266CB4">
              <w:rPr>
                <w:rStyle w:val="Hyperlink"/>
                <w:rFonts w:ascii="Arial" w:hAnsi="Arial" w:cs="Arial"/>
                <w:sz w:val="22"/>
                <w:szCs w:val="22"/>
                <w:lang w:val="en-ZA"/>
              </w:rPr>
              <w:t>.</w:t>
            </w:r>
          </w:p>
          <w:p w:rsidR="00E51DBB" w:rsidRPr="00266CB4" w:rsidRDefault="00E51DBB" w:rsidP="00E51DBB">
            <w:pPr>
              <w:spacing w:before="120" w:after="120" w:line="276" w:lineRule="auto"/>
              <w:ind w:right="539"/>
              <w:jc w:val="both"/>
              <w:textAlignment w:val="top"/>
              <w:rPr>
                <w:rFonts w:ascii="Arial" w:hAnsi="Arial" w:cs="Arial"/>
                <w:b/>
                <w:bCs/>
                <w:sz w:val="22"/>
                <w:szCs w:val="22"/>
                <w:lang w:val="en-ZA"/>
              </w:rPr>
            </w:pPr>
          </w:p>
          <w:p w:rsidR="00E51DBB" w:rsidRPr="00266CB4" w:rsidRDefault="00E51DBB" w:rsidP="00E51DBB">
            <w:pPr>
              <w:spacing w:before="120" w:after="120" w:line="276" w:lineRule="auto"/>
              <w:jc w:val="both"/>
              <w:textAlignment w:val="top"/>
              <w:rPr>
                <w:rFonts w:ascii="Arial" w:hAnsi="Arial" w:cs="Arial"/>
                <w:b/>
                <w:bCs/>
                <w:sz w:val="22"/>
                <w:szCs w:val="22"/>
                <w:lang w:val="en-ZA"/>
              </w:rPr>
            </w:pPr>
            <w:r w:rsidRPr="00266CB4">
              <w:rPr>
                <w:rFonts w:ascii="Arial" w:hAnsi="Arial" w:cs="Arial"/>
                <w:b/>
                <w:bCs/>
                <w:sz w:val="22"/>
                <w:szCs w:val="22"/>
                <w:lang w:val="en-ZA"/>
              </w:rPr>
              <w:t>Imran Vanker</w:t>
            </w:r>
          </w:p>
          <w:p w:rsidR="00E51DBB" w:rsidRPr="00266CB4" w:rsidRDefault="00E51DBB" w:rsidP="00E51DBB">
            <w:pPr>
              <w:spacing w:before="120" w:after="120" w:line="276" w:lineRule="auto"/>
              <w:jc w:val="both"/>
              <w:rPr>
                <w:rFonts w:ascii="Arial" w:hAnsi="Arial" w:cs="Arial"/>
                <w:b/>
                <w:bCs/>
                <w:sz w:val="22"/>
                <w:szCs w:val="22"/>
                <w:lang w:val="en-ZA"/>
              </w:rPr>
            </w:pPr>
            <w:r w:rsidRPr="00266CB4">
              <w:rPr>
                <w:rFonts w:ascii="Arial" w:hAnsi="Arial" w:cs="Arial"/>
                <w:b/>
                <w:bCs/>
                <w:sz w:val="22"/>
                <w:szCs w:val="22"/>
                <w:lang w:val="en-ZA"/>
              </w:rPr>
              <w:lastRenderedPageBreak/>
              <w:t>Director: Standards</w:t>
            </w:r>
          </w:p>
          <w:p w:rsidR="00E51DBB" w:rsidRPr="00266CB4" w:rsidRDefault="00E51DBB" w:rsidP="00E51DBB">
            <w:pPr>
              <w:spacing w:before="120" w:after="120" w:line="276" w:lineRule="auto"/>
              <w:jc w:val="both"/>
              <w:rPr>
                <w:rFonts w:ascii="Arial" w:hAnsi="Arial" w:cs="Arial"/>
                <w:b/>
                <w:bCs/>
                <w:i/>
                <w:iCs/>
                <w:sz w:val="22"/>
                <w:szCs w:val="22"/>
                <w:lang w:val="en-ZA"/>
              </w:rPr>
            </w:pPr>
          </w:p>
          <w:p w:rsidR="00E51DBB" w:rsidRPr="00266CB4" w:rsidRDefault="00E51DBB" w:rsidP="00E51DBB">
            <w:pPr>
              <w:spacing w:before="120" w:after="120" w:line="276" w:lineRule="auto"/>
              <w:jc w:val="both"/>
              <w:rPr>
                <w:rFonts w:ascii="Arial" w:hAnsi="Arial" w:cs="Arial"/>
                <w:b/>
                <w:bCs/>
                <w:i/>
                <w:iCs/>
                <w:sz w:val="22"/>
                <w:szCs w:val="22"/>
                <w:lang w:val="en-ZA"/>
              </w:rPr>
            </w:pPr>
            <w:r w:rsidRPr="00266CB4">
              <w:rPr>
                <w:rFonts w:ascii="Arial" w:hAnsi="Arial" w:cs="Arial"/>
                <w:b/>
                <w:bCs/>
                <w:i/>
                <w:iCs/>
                <w:sz w:val="22"/>
                <w:szCs w:val="22"/>
                <w:lang w:val="en-ZA"/>
              </w:rPr>
              <w:t>About the IRBA</w:t>
            </w:r>
          </w:p>
          <w:p w:rsidR="00E51DBB" w:rsidRPr="00266CB4" w:rsidRDefault="00E51DBB" w:rsidP="00E51DBB">
            <w:pPr>
              <w:spacing w:before="120" w:after="120" w:line="276" w:lineRule="auto"/>
              <w:jc w:val="both"/>
              <w:rPr>
                <w:rFonts w:ascii="Arial" w:hAnsi="Arial" w:cs="Arial"/>
                <w:sz w:val="20"/>
                <w:szCs w:val="20"/>
                <w:lang w:val="en-ZA"/>
              </w:rPr>
            </w:pPr>
            <w:r w:rsidRPr="00266CB4">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E51DBB" w:rsidRDefault="00E51DBB" w:rsidP="00E51DBB">
            <w:pPr>
              <w:spacing w:line="276" w:lineRule="auto"/>
              <w:rPr>
                <w:rFonts w:ascii="Arial" w:hAnsi="Arial" w:cs="Arial"/>
                <w:lang w:val="en-ZA"/>
              </w:rPr>
            </w:pPr>
            <w:r w:rsidRPr="00266CB4">
              <w:rPr>
                <w:rFonts w:ascii="Arial" w:hAnsi="Arial" w:cs="Arial"/>
                <w:i/>
                <w:iCs/>
                <w:sz w:val="20"/>
                <w:szCs w:val="20"/>
                <w:lang w:val="en-ZA"/>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981C35" w:rsidRPr="00266CB4" w:rsidRDefault="00981C35" w:rsidP="009B40ED">
      <w:pPr>
        <w:spacing w:line="276" w:lineRule="auto"/>
        <w:rPr>
          <w:rFonts w:ascii="Arial" w:hAnsi="Arial" w:cs="Arial"/>
          <w:lang w:val="en-ZA"/>
        </w:rPr>
      </w:pPr>
    </w:p>
    <w:p w:rsidR="009B40ED" w:rsidRPr="00266CB4" w:rsidRDefault="009B40ED" w:rsidP="009B40ED">
      <w:pPr>
        <w:spacing w:line="276" w:lineRule="auto"/>
        <w:rPr>
          <w:rFonts w:ascii="Arial" w:hAnsi="Arial" w:cs="Arial"/>
          <w:lang w:val="en-ZA"/>
        </w:rPr>
      </w:pPr>
    </w:p>
    <w:p w:rsidR="00F76271" w:rsidRPr="00266CB4" w:rsidRDefault="00F76271" w:rsidP="00266CB4">
      <w:pPr>
        <w:pStyle w:val="NormalWeb"/>
        <w:spacing w:before="120" w:beforeAutospacing="0" w:after="120" w:afterAutospacing="0" w:line="276" w:lineRule="auto"/>
        <w:jc w:val="both"/>
        <w:rPr>
          <w:rFonts w:ascii="Arial" w:hAnsi="Arial" w:cs="Arial"/>
          <w:sz w:val="20"/>
          <w:szCs w:val="20"/>
          <w:lang w:val="en-ZA"/>
        </w:rPr>
      </w:pPr>
    </w:p>
    <w:p w:rsidR="00F76271" w:rsidRPr="00266CB4" w:rsidRDefault="00F76271" w:rsidP="009B40ED">
      <w:pPr>
        <w:pStyle w:val="NormalWeb"/>
        <w:spacing w:before="120" w:beforeAutospacing="0" w:after="120" w:afterAutospacing="0" w:line="276" w:lineRule="auto"/>
        <w:jc w:val="both"/>
        <w:rPr>
          <w:rFonts w:ascii="Arial" w:hAnsi="Arial" w:cs="Arial"/>
          <w:sz w:val="22"/>
          <w:szCs w:val="22"/>
          <w:lang w:val="en-ZA"/>
        </w:rPr>
      </w:pPr>
    </w:p>
    <w:p w:rsidR="00ED047A" w:rsidRPr="00266CB4" w:rsidRDefault="00ED047A" w:rsidP="009B40ED">
      <w:pPr>
        <w:pStyle w:val="NormalWeb"/>
        <w:spacing w:before="120" w:beforeAutospacing="0" w:after="120" w:afterAutospacing="0" w:line="276" w:lineRule="auto"/>
        <w:jc w:val="both"/>
        <w:rPr>
          <w:rFonts w:ascii="Arial" w:hAnsi="Arial" w:cs="Arial"/>
          <w:sz w:val="22"/>
          <w:szCs w:val="22"/>
          <w:lang w:val="en-ZA"/>
        </w:rPr>
      </w:pPr>
    </w:p>
    <w:sectPr w:rsidR="00ED047A" w:rsidRPr="00266CB4" w:rsidSect="00D9728A">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95A" w:rsidRDefault="005B295A" w:rsidP="00BE2542">
      <w:r>
        <w:separator/>
      </w:r>
    </w:p>
  </w:endnote>
  <w:endnote w:type="continuationSeparator" w:id="0">
    <w:p w:rsidR="005B295A" w:rsidRDefault="005B295A" w:rsidP="00BE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542" w:rsidRPr="00BD2E37" w:rsidRDefault="00BE2542" w:rsidP="00BE2542">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95A" w:rsidRDefault="005B295A" w:rsidP="00BE2542">
      <w:r>
        <w:separator/>
      </w:r>
    </w:p>
  </w:footnote>
  <w:footnote w:type="continuationSeparator" w:id="0">
    <w:p w:rsidR="005B295A" w:rsidRDefault="005B295A" w:rsidP="00BE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6C011A7"/>
    <w:multiLevelType w:val="hybridMultilevel"/>
    <w:tmpl w:val="B6EC335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8846AE8"/>
    <w:multiLevelType w:val="multilevel"/>
    <w:tmpl w:val="2744DBA6"/>
    <w:lvl w:ilvl="0">
      <w:start w:val="1"/>
      <w:numFmt w:val="decimal"/>
      <w:lvlText w:val="%1."/>
      <w:lvlJc w:val="left"/>
      <w:pPr>
        <w:ind w:left="360" w:hanging="360"/>
      </w:pPr>
      <w:rPr>
        <w:rFonts w:ascii="Arial" w:hAnsi="Arial" w:hint="default"/>
        <w:b w:val="0"/>
        <w:i w:val="0"/>
        <w:sz w:val="22"/>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1A0552"/>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4F525133"/>
    <w:multiLevelType w:val="multilevel"/>
    <w:tmpl w:val="B7B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96B30"/>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6"/>
  </w:num>
  <w:num w:numId="3">
    <w:abstractNumId w:val="0"/>
  </w:num>
  <w:num w:numId="4">
    <w:abstractNumId w:val="4"/>
  </w:num>
  <w:num w:numId="5">
    <w:abstractNumId w:val="7"/>
  </w:num>
  <w:num w:numId="6">
    <w:abstractNumId w:val="0"/>
  </w:num>
  <w:num w:numId="7">
    <w:abstractNumId w:val="0"/>
  </w:num>
  <w:num w:numId="8">
    <w:abstractNumId w:val="0"/>
  </w:num>
  <w:num w:numId="9">
    <w:abstractNumId w:val="0"/>
  </w:num>
  <w:num w:numId="10">
    <w:abstractNumId w:val="2"/>
  </w:num>
  <w:num w:numId="11">
    <w:abstractNumId w:val="1"/>
  </w:num>
  <w:num w:numId="12">
    <w:abstractNumId w:val="0"/>
  </w:num>
  <w:num w:numId="13">
    <w:abstractNumId w:val="0"/>
  </w:num>
  <w:num w:numId="14">
    <w:abstractNumId w:val="0"/>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6D6"/>
    <w:rsid w:val="00071D25"/>
    <w:rsid w:val="0007339A"/>
    <w:rsid w:val="00077913"/>
    <w:rsid w:val="00083DEE"/>
    <w:rsid w:val="000C1DC5"/>
    <w:rsid w:val="000F0B0B"/>
    <w:rsid w:val="000F6759"/>
    <w:rsid w:val="00104CED"/>
    <w:rsid w:val="001B58BD"/>
    <w:rsid w:val="0020295F"/>
    <w:rsid w:val="00203A30"/>
    <w:rsid w:val="00206B92"/>
    <w:rsid w:val="00217E16"/>
    <w:rsid w:val="00223FBE"/>
    <w:rsid w:val="00230587"/>
    <w:rsid w:val="00233943"/>
    <w:rsid w:val="00235177"/>
    <w:rsid w:val="00237549"/>
    <w:rsid w:val="00243A74"/>
    <w:rsid w:val="0025235E"/>
    <w:rsid w:val="00266CB4"/>
    <w:rsid w:val="00285B0C"/>
    <w:rsid w:val="00287884"/>
    <w:rsid w:val="002D325F"/>
    <w:rsid w:val="002F3480"/>
    <w:rsid w:val="002F7BF0"/>
    <w:rsid w:val="003065B6"/>
    <w:rsid w:val="0031496C"/>
    <w:rsid w:val="003317D7"/>
    <w:rsid w:val="00344E83"/>
    <w:rsid w:val="00376943"/>
    <w:rsid w:val="00387112"/>
    <w:rsid w:val="003C23EB"/>
    <w:rsid w:val="003C5411"/>
    <w:rsid w:val="003F3563"/>
    <w:rsid w:val="004105AB"/>
    <w:rsid w:val="00451D2F"/>
    <w:rsid w:val="00477148"/>
    <w:rsid w:val="004C50FA"/>
    <w:rsid w:val="004C56AF"/>
    <w:rsid w:val="004C574F"/>
    <w:rsid w:val="004D3F64"/>
    <w:rsid w:val="004E002C"/>
    <w:rsid w:val="005225BE"/>
    <w:rsid w:val="005251A6"/>
    <w:rsid w:val="0055299B"/>
    <w:rsid w:val="00583B7D"/>
    <w:rsid w:val="00586A3F"/>
    <w:rsid w:val="0059696E"/>
    <w:rsid w:val="005B295A"/>
    <w:rsid w:val="005F3E11"/>
    <w:rsid w:val="005F5998"/>
    <w:rsid w:val="00604FF3"/>
    <w:rsid w:val="00610226"/>
    <w:rsid w:val="006712A7"/>
    <w:rsid w:val="00695B44"/>
    <w:rsid w:val="006A2A11"/>
    <w:rsid w:val="006C5465"/>
    <w:rsid w:val="006E076C"/>
    <w:rsid w:val="00702BDA"/>
    <w:rsid w:val="00705EE6"/>
    <w:rsid w:val="00750A43"/>
    <w:rsid w:val="00756731"/>
    <w:rsid w:val="00765712"/>
    <w:rsid w:val="00775201"/>
    <w:rsid w:val="0077580A"/>
    <w:rsid w:val="007832D8"/>
    <w:rsid w:val="00794A42"/>
    <w:rsid w:val="007C1ED9"/>
    <w:rsid w:val="00813AD0"/>
    <w:rsid w:val="00814A77"/>
    <w:rsid w:val="00846F30"/>
    <w:rsid w:val="008476CA"/>
    <w:rsid w:val="00855C85"/>
    <w:rsid w:val="008617E8"/>
    <w:rsid w:val="00864DAE"/>
    <w:rsid w:val="0087229C"/>
    <w:rsid w:val="008761B5"/>
    <w:rsid w:val="00892EE3"/>
    <w:rsid w:val="00893618"/>
    <w:rsid w:val="008C02FB"/>
    <w:rsid w:val="008C11A6"/>
    <w:rsid w:val="008D3FA5"/>
    <w:rsid w:val="008F75F0"/>
    <w:rsid w:val="00923D66"/>
    <w:rsid w:val="00936DF0"/>
    <w:rsid w:val="009413CF"/>
    <w:rsid w:val="009469B8"/>
    <w:rsid w:val="0097788E"/>
    <w:rsid w:val="00981C35"/>
    <w:rsid w:val="00993008"/>
    <w:rsid w:val="00993036"/>
    <w:rsid w:val="009B40ED"/>
    <w:rsid w:val="009B6B2A"/>
    <w:rsid w:val="009E42A8"/>
    <w:rsid w:val="009F6E8F"/>
    <w:rsid w:val="00A1439E"/>
    <w:rsid w:val="00A20523"/>
    <w:rsid w:val="00A20C54"/>
    <w:rsid w:val="00A26C62"/>
    <w:rsid w:val="00A45A2C"/>
    <w:rsid w:val="00A74CC7"/>
    <w:rsid w:val="00A7528B"/>
    <w:rsid w:val="00AC0575"/>
    <w:rsid w:val="00AC7A19"/>
    <w:rsid w:val="00AE7223"/>
    <w:rsid w:val="00AF0B07"/>
    <w:rsid w:val="00B40890"/>
    <w:rsid w:val="00B44C4F"/>
    <w:rsid w:val="00B57235"/>
    <w:rsid w:val="00B6753B"/>
    <w:rsid w:val="00B74004"/>
    <w:rsid w:val="00B813B5"/>
    <w:rsid w:val="00B92583"/>
    <w:rsid w:val="00BA1A3F"/>
    <w:rsid w:val="00BD2E37"/>
    <w:rsid w:val="00BE2542"/>
    <w:rsid w:val="00C16E1F"/>
    <w:rsid w:val="00C20018"/>
    <w:rsid w:val="00C60148"/>
    <w:rsid w:val="00C92D44"/>
    <w:rsid w:val="00C932B4"/>
    <w:rsid w:val="00CB58A5"/>
    <w:rsid w:val="00D03506"/>
    <w:rsid w:val="00D3781E"/>
    <w:rsid w:val="00D77077"/>
    <w:rsid w:val="00D9728A"/>
    <w:rsid w:val="00DA68CA"/>
    <w:rsid w:val="00DB4245"/>
    <w:rsid w:val="00DF3178"/>
    <w:rsid w:val="00E13522"/>
    <w:rsid w:val="00E33529"/>
    <w:rsid w:val="00E50DBC"/>
    <w:rsid w:val="00E51DBB"/>
    <w:rsid w:val="00E80B5B"/>
    <w:rsid w:val="00EC2D18"/>
    <w:rsid w:val="00ED047A"/>
    <w:rsid w:val="00ED1530"/>
    <w:rsid w:val="00EE7CDD"/>
    <w:rsid w:val="00F03C1E"/>
    <w:rsid w:val="00F10603"/>
    <w:rsid w:val="00F23975"/>
    <w:rsid w:val="00F470EB"/>
    <w:rsid w:val="00F64BB9"/>
    <w:rsid w:val="00F76271"/>
    <w:rsid w:val="00F8251D"/>
    <w:rsid w:val="00FB35FF"/>
    <w:rsid w:val="00FB4281"/>
    <w:rsid w:val="00FD6D3D"/>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A5F2"/>
  <w15:docId w15:val="{90794EAD-9F70-474F-90D1-518DF277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uiPriority w:val="1"/>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styleId="CommentReference">
    <w:name w:val="annotation reference"/>
    <w:basedOn w:val="DefaultParagraphFont"/>
    <w:uiPriority w:val="99"/>
    <w:semiHidden/>
    <w:unhideWhenUsed/>
    <w:rsid w:val="008F75F0"/>
    <w:rPr>
      <w:sz w:val="16"/>
      <w:szCs w:val="16"/>
    </w:rPr>
  </w:style>
  <w:style w:type="paragraph" w:styleId="CommentText">
    <w:name w:val="annotation text"/>
    <w:basedOn w:val="Normal"/>
    <w:link w:val="CommentTextChar"/>
    <w:uiPriority w:val="99"/>
    <w:semiHidden/>
    <w:unhideWhenUsed/>
    <w:rsid w:val="008F75F0"/>
    <w:rPr>
      <w:sz w:val="20"/>
      <w:szCs w:val="20"/>
    </w:rPr>
  </w:style>
  <w:style w:type="character" w:customStyle="1" w:styleId="CommentTextChar">
    <w:name w:val="Comment Text Char"/>
    <w:basedOn w:val="DefaultParagraphFont"/>
    <w:link w:val="CommentText"/>
    <w:uiPriority w:val="99"/>
    <w:semiHidden/>
    <w:rsid w:val="008F75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75F0"/>
    <w:rPr>
      <w:b/>
      <w:bCs/>
    </w:rPr>
  </w:style>
  <w:style w:type="character" w:customStyle="1" w:styleId="CommentSubjectChar">
    <w:name w:val="Comment Subject Char"/>
    <w:basedOn w:val="CommentTextChar"/>
    <w:link w:val="CommentSubject"/>
    <w:uiPriority w:val="99"/>
    <w:semiHidden/>
    <w:rsid w:val="008F75F0"/>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BE2542"/>
    <w:pPr>
      <w:tabs>
        <w:tab w:val="center" w:pos="4513"/>
        <w:tab w:val="right" w:pos="9026"/>
      </w:tabs>
    </w:pPr>
  </w:style>
  <w:style w:type="character" w:customStyle="1" w:styleId="HeaderChar">
    <w:name w:val="Header Char"/>
    <w:basedOn w:val="DefaultParagraphFont"/>
    <w:link w:val="Header"/>
    <w:uiPriority w:val="99"/>
    <w:rsid w:val="00BE254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E2542"/>
    <w:pPr>
      <w:tabs>
        <w:tab w:val="center" w:pos="4513"/>
        <w:tab w:val="right" w:pos="9026"/>
      </w:tabs>
    </w:pPr>
  </w:style>
  <w:style w:type="character" w:customStyle="1" w:styleId="FooterChar">
    <w:name w:val="Footer Char"/>
    <w:basedOn w:val="DefaultParagraphFont"/>
    <w:link w:val="Footer"/>
    <w:uiPriority w:val="99"/>
    <w:rsid w:val="00BE2542"/>
    <w:rPr>
      <w:rFonts w:ascii="Times New Roman" w:eastAsia="Times New Roman" w:hAnsi="Times New Roman" w:cs="Times New Roman"/>
      <w:sz w:val="24"/>
      <w:szCs w:val="24"/>
      <w:lang w:val="en-US"/>
    </w:rPr>
  </w:style>
  <w:style w:type="table" w:styleId="TableGrid">
    <w:name w:val="Table Grid"/>
    <w:basedOn w:val="TableNormal"/>
    <w:uiPriority w:val="59"/>
    <w:unhideWhenUsed/>
    <w:rsid w:val="00E51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317156332">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2067560746">
      <w:bodyDiv w:val="1"/>
      <w:marLeft w:val="0"/>
      <w:marRight w:val="0"/>
      <w:marTop w:val="0"/>
      <w:marBottom w:val="0"/>
      <w:divBdr>
        <w:top w:val="none" w:sz="0" w:space="0" w:color="auto"/>
        <w:left w:val="none" w:sz="0" w:space="0" w:color="auto"/>
        <w:bottom w:val="none" w:sz="0" w:space="0" w:color="auto"/>
        <w:right w:val="none" w:sz="0" w:space="0" w:color="auto"/>
      </w:divBdr>
      <w:divsChild>
        <w:div w:id="2115006258">
          <w:marLeft w:val="0"/>
          <w:marRight w:val="0"/>
          <w:marTop w:val="0"/>
          <w:marBottom w:val="0"/>
          <w:divBdr>
            <w:top w:val="none" w:sz="0" w:space="0" w:color="auto"/>
            <w:left w:val="none" w:sz="0" w:space="0" w:color="auto"/>
            <w:bottom w:val="none" w:sz="0" w:space="0" w:color="auto"/>
            <w:right w:val="none" w:sz="0" w:space="0" w:color="auto"/>
          </w:divBdr>
          <w:divsChild>
            <w:div w:id="878053566">
              <w:marLeft w:val="0"/>
              <w:marRight w:val="-95"/>
              <w:marTop w:val="0"/>
              <w:marBottom w:val="0"/>
              <w:divBdr>
                <w:top w:val="none" w:sz="0" w:space="0" w:color="auto"/>
                <w:left w:val="none" w:sz="0" w:space="0" w:color="auto"/>
                <w:bottom w:val="none" w:sz="0" w:space="0" w:color="auto"/>
                <w:right w:val="none" w:sz="0" w:space="0" w:color="auto"/>
              </w:divBdr>
              <w:divsChild>
                <w:div w:id="477066196">
                  <w:marLeft w:val="3270"/>
                  <w:marRight w:val="270"/>
                  <w:marTop w:val="0"/>
                  <w:marBottom w:val="0"/>
                  <w:divBdr>
                    <w:top w:val="none" w:sz="0" w:space="0" w:color="auto"/>
                    <w:left w:val="none" w:sz="0" w:space="0" w:color="auto"/>
                    <w:bottom w:val="none" w:sz="0" w:space="0" w:color="auto"/>
                    <w:right w:val="none" w:sz="0" w:space="0" w:color="auto"/>
                  </w:divBdr>
                  <w:divsChild>
                    <w:div w:id="1443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ba.co.za/guidance-to-ras/technical-guidance-for-auditors/auditing-standards-and-guides/guides-and-circulars-for-audi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A92D-24AC-4E2A-B8CF-7FBD65E4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2018-06-05T07:34:00Z</cp:lastPrinted>
  <dcterms:created xsi:type="dcterms:W3CDTF">2018-06-05T12:14:00Z</dcterms:created>
  <dcterms:modified xsi:type="dcterms:W3CDTF">2018-06-05T12:16:00Z</dcterms:modified>
</cp:coreProperties>
</file>