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CellSpacing w:w="15" w:type="dxa"/>
        <w:tblInd w:w="-60" w:type="dxa"/>
        <w:tblLayout w:type="fixed"/>
        <w:tblCellMar>
          <w:left w:w="0" w:type="dxa"/>
          <w:right w:w="0" w:type="dxa"/>
        </w:tblCellMar>
        <w:tblLook w:val="0000" w:firstRow="0" w:lastRow="0" w:firstColumn="0" w:lastColumn="0" w:noHBand="0" w:noVBand="0"/>
      </w:tblPr>
      <w:tblGrid>
        <w:gridCol w:w="9360"/>
      </w:tblGrid>
      <w:tr w:rsidR="007E7AFA" w:rsidRPr="00AB430E" w:rsidTr="00B24852">
        <w:trPr>
          <w:trHeight w:val="1747"/>
          <w:tblCellSpacing w:w="15" w:type="dxa"/>
        </w:trPr>
        <w:tc>
          <w:tcPr>
            <w:tcW w:w="9300" w:type="dxa"/>
          </w:tcPr>
          <w:p w:rsidR="007E7AFA" w:rsidRPr="002C1B5F" w:rsidRDefault="007E7AFA" w:rsidP="00B24852">
            <w:pPr>
              <w:pBdr>
                <w:top w:val="single" w:sz="4" w:space="1" w:color="auto"/>
                <w:bottom w:val="single" w:sz="4" w:space="1" w:color="auto"/>
              </w:pBdr>
              <w:tabs>
                <w:tab w:val="left" w:pos="9300"/>
                <w:tab w:val="left" w:pos="9330"/>
              </w:tabs>
              <w:spacing w:before="120" w:after="120" w:line="312" w:lineRule="atLeast"/>
              <w:ind w:right="-30"/>
              <w:jc w:val="center"/>
              <w:rPr>
                <w:rFonts w:ascii="Arial" w:hAnsi="Arial" w:cs="Arial"/>
                <w:b/>
                <w:bCs/>
                <w:color w:val="C00000"/>
                <w:lang w:val="en-GB"/>
              </w:rPr>
            </w:pPr>
            <w:bookmarkStart w:id="0" w:name="_GoBack"/>
            <w:bookmarkEnd w:id="0"/>
            <w:r w:rsidRPr="002C1B5F">
              <w:rPr>
                <w:rFonts w:ascii="Arial" w:hAnsi="Arial" w:cs="Arial"/>
                <w:b/>
                <w:bCs/>
                <w:color w:val="C00000"/>
                <w:lang w:val="en-GB"/>
              </w:rPr>
              <w:t>INDEPENDENT REGULATORY BOARD FOR AUDITORS</w:t>
            </w:r>
          </w:p>
          <w:p w:rsidR="007E7AFA" w:rsidRPr="00EB2425" w:rsidRDefault="007E7AFA" w:rsidP="00B24852">
            <w:pPr>
              <w:pBdr>
                <w:top w:val="single" w:sz="4" w:space="1" w:color="auto"/>
                <w:bottom w:val="single" w:sz="4" w:space="1" w:color="auto"/>
              </w:pBdr>
              <w:tabs>
                <w:tab w:val="left" w:pos="9300"/>
                <w:tab w:val="left" w:pos="9330"/>
              </w:tabs>
              <w:spacing w:before="120" w:after="120" w:line="312" w:lineRule="atLeast"/>
              <w:ind w:right="-30"/>
              <w:jc w:val="center"/>
              <w:rPr>
                <w:rFonts w:ascii="Arial" w:hAnsi="Arial" w:cs="Arial"/>
                <w:b/>
                <w:bCs/>
                <w:lang w:val="en-GB"/>
              </w:rPr>
            </w:pPr>
            <w:r w:rsidRPr="00EB2425">
              <w:rPr>
                <w:rFonts w:ascii="Arial" w:hAnsi="Arial" w:cs="Arial"/>
                <w:b/>
                <w:bCs/>
                <w:lang w:val="en-GB"/>
              </w:rPr>
              <w:t>COMMITTEE FOR AUDITING STANDARDS</w:t>
            </w:r>
          </w:p>
          <w:p w:rsidR="007E7AFA" w:rsidRDefault="007E7AFA" w:rsidP="007E7AFA">
            <w:pPr>
              <w:spacing w:before="120" w:after="120"/>
              <w:jc w:val="center"/>
              <w:rPr>
                <w:rFonts w:ascii="Arial" w:hAnsi="Arial" w:cs="Arial"/>
                <w:b/>
                <w:sz w:val="22"/>
                <w:szCs w:val="22"/>
                <w:lang w:val="en-ZA"/>
              </w:rPr>
            </w:pPr>
          </w:p>
          <w:p w:rsidR="007E7AFA" w:rsidRPr="007E7AFA" w:rsidRDefault="007E7AFA" w:rsidP="007E7AFA">
            <w:pPr>
              <w:spacing w:before="120" w:after="120"/>
              <w:jc w:val="center"/>
              <w:rPr>
                <w:rFonts w:ascii="Arial" w:hAnsi="Arial" w:cs="Arial"/>
                <w:b/>
                <w:sz w:val="22"/>
                <w:szCs w:val="22"/>
                <w:lang w:val="en-ZA"/>
              </w:rPr>
            </w:pPr>
            <w:r w:rsidRPr="007E7AFA">
              <w:rPr>
                <w:rFonts w:ascii="Arial" w:hAnsi="Arial" w:cs="Arial"/>
                <w:b/>
                <w:sz w:val="22"/>
                <w:szCs w:val="22"/>
                <w:lang w:val="en-ZA"/>
              </w:rPr>
              <w:t>Section 12I Tax Allowance Incentive Programme Factual Findings Report</w:t>
            </w:r>
          </w:p>
          <w:p w:rsidR="007E7AFA" w:rsidRPr="007E7AFA" w:rsidRDefault="007E7AFA" w:rsidP="007E7AFA">
            <w:pPr>
              <w:spacing w:before="120" w:after="120"/>
              <w:jc w:val="center"/>
              <w:rPr>
                <w:rFonts w:ascii="Arial" w:hAnsi="Arial" w:cs="Arial"/>
                <w:sz w:val="22"/>
                <w:szCs w:val="22"/>
                <w:lang w:val="en-GB"/>
              </w:rPr>
            </w:pPr>
            <w:r w:rsidRPr="007E7AFA">
              <w:rPr>
                <w:rFonts w:ascii="Arial" w:hAnsi="Arial" w:cs="Arial"/>
                <w:sz w:val="22"/>
                <w:szCs w:val="22"/>
                <w:lang w:val="en-GB"/>
              </w:rPr>
              <w:t>Johannesburg / 31October 2014</w:t>
            </w:r>
          </w:p>
          <w:p w:rsidR="007E7AFA" w:rsidRPr="007E7AFA" w:rsidRDefault="007E7AFA" w:rsidP="007E7AFA">
            <w:pPr>
              <w:spacing w:before="120" w:after="120"/>
              <w:jc w:val="center"/>
              <w:rPr>
                <w:rFonts w:ascii="Arial" w:hAnsi="Arial" w:cs="Arial"/>
                <w:sz w:val="22"/>
                <w:szCs w:val="22"/>
                <w:lang w:val="en-GB"/>
              </w:rPr>
            </w:pPr>
          </w:p>
          <w:p w:rsidR="007E7AFA" w:rsidRPr="007E7AFA" w:rsidRDefault="007E7AFA" w:rsidP="007E7AFA">
            <w:pPr>
              <w:spacing w:before="100" w:beforeAutospacing="1" w:after="120" w:afterAutospacing="1"/>
              <w:jc w:val="both"/>
              <w:rPr>
                <w:rFonts w:ascii="Arial" w:hAnsi="Arial" w:cs="Arial"/>
                <w:sz w:val="22"/>
                <w:szCs w:val="22"/>
                <w:lang w:val="en-ZA"/>
              </w:rPr>
            </w:pPr>
            <w:r w:rsidRPr="007E7AFA">
              <w:rPr>
                <w:rFonts w:ascii="Arial" w:hAnsi="Arial" w:cs="Arial"/>
                <w:sz w:val="22"/>
                <w:szCs w:val="22"/>
                <w:lang w:val="en-ZA"/>
              </w:rPr>
              <w:t xml:space="preserve">The Department of Trade and Industry (the DTI) has approved a factual findings report to accompany the annual progress report submitted for the Section 12I Tax Allowance Incentive Programme. The factual findings report has been prepared in consultation with the Committee for Auditing Standards (CFAS) of the Independent Regulatory Board for Auditors (the IRBA). </w:t>
            </w:r>
          </w:p>
          <w:p w:rsidR="007E7AFA" w:rsidRPr="007E7AFA" w:rsidRDefault="007E7AFA" w:rsidP="007E7AFA">
            <w:pPr>
              <w:spacing w:before="100" w:beforeAutospacing="1" w:after="120" w:afterAutospacing="1"/>
              <w:jc w:val="both"/>
              <w:rPr>
                <w:rFonts w:ascii="Arial" w:hAnsi="Arial" w:cs="Arial"/>
                <w:sz w:val="22"/>
                <w:szCs w:val="22"/>
                <w:lang w:val="en-ZA"/>
              </w:rPr>
            </w:pPr>
            <w:r w:rsidRPr="007E7AFA">
              <w:rPr>
                <w:rFonts w:ascii="Arial" w:hAnsi="Arial" w:cs="Arial"/>
                <w:sz w:val="22"/>
                <w:szCs w:val="22"/>
                <w:lang w:val="en-ZA"/>
              </w:rPr>
              <w:t xml:space="preserve">The annual progress reports are to be submitted to the DTI for all approved Section 12I Tax Allowance Incentive projects to meet the requirements of Section 12I(11) of the Income Tax Act, 1962 (Act No. 58 of 1962). </w:t>
            </w:r>
          </w:p>
          <w:p w:rsidR="007E7AFA" w:rsidRPr="007E7AFA" w:rsidRDefault="007E7AFA" w:rsidP="007E7AFA">
            <w:pPr>
              <w:spacing w:before="100" w:beforeAutospacing="1" w:after="120" w:afterAutospacing="1"/>
              <w:jc w:val="both"/>
              <w:rPr>
                <w:rFonts w:ascii="Arial" w:hAnsi="Arial" w:cs="Arial"/>
                <w:sz w:val="22"/>
                <w:szCs w:val="22"/>
                <w:lang w:val="en-ZA"/>
              </w:rPr>
            </w:pPr>
            <w:r w:rsidRPr="007E7AFA">
              <w:rPr>
                <w:rFonts w:ascii="Arial" w:hAnsi="Arial" w:cs="Arial"/>
                <w:sz w:val="22"/>
                <w:szCs w:val="22"/>
                <w:lang w:val="en-ZA"/>
              </w:rPr>
              <w:t xml:space="preserve">The factual findings report is effective for annual progress reports due on or after 1 January 2015 when reporting to the DTI. </w:t>
            </w:r>
          </w:p>
          <w:p w:rsidR="007E7AFA" w:rsidRPr="007E7AFA" w:rsidRDefault="007E7AFA" w:rsidP="007E7AFA">
            <w:pPr>
              <w:spacing w:after="120"/>
              <w:jc w:val="both"/>
              <w:rPr>
                <w:rFonts w:ascii="Arial" w:hAnsi="Arial" w:cs="Arial"/>
                <w:sz w:val="22"/>
                <w:szCs w:val="22"/>
              </w:rPr>
            </w:pPr>
            <w:r w:rsidRPr="007E7AFA">
              <w:rPr>
                <w:rFonts w:ascii="Arial" w:hAnsi="Arial" w:cs="Arial"/>
                <w:sz w:val="22"/>
                <w:szCs w:val="22"/>
                <w:lang w:val="en-ZA"/>
              </w:rPr>
              <w:t>The factual findings report</w:t>
            </w:r>
            <w:r w:rsidRPr="007E7AFA">
              <w:rPr>
                <w:rFonts w:ascii="Arial" w:hAnsi="Arial" w:cs="Arial"/>
                <w:sz w:val="22"/>
                <w:szCs w:val="22"/>
              </w:rPr>
              <w:t xml:space="preserve"> may be downloaded from both the IRBA website at </w:t>
            </w:r>
            <w:hyperlink r:id="rId6" w:history="1">
              <w:r w:rsidRPr="007E7AFA">
                <w:rPr>
                  <w:rFonts w:ascii="Arial" w:hAnsi="Arial" w:cs="Arial"/>
                  <w:color w:val="BD392D"/>
                  <w:sz w:val="22"/>
                  <w:szCs w:val="22"/>
                  <w:u w:val="single"/>
                </w:rPr>
                <w:t>www.irba.co.za</w:t>
              </w:r>
            </w:hyperlink>
            <w:r w:rsidRPr="007E7AFA">
              <w:rPr>
                <w:rFonts w:ascii="Arial" w:hAnsi="Arial" w:cs="Arial"/>
                <w:color w:val="BD392D"/>
                <w:sz w:val="22"/>
                <w:szCs w:val="22"/>
                <w:u w:val="single"/>
              </w:rPr>
              <w:t xml:space="preserve"> </w:t>
            </w:r>
            <w:r w:rsidRPr="007E7AFA">
              <w:rPr>
                <w:rFonts w:ascii="Arial" w:hAnsi="Arial" w:cs="Arial"/>
                <w:sz w:val="22"/>
                <w:szCs w:val="22"/>
                <w:lang w:val="en-ZA"/>
              </w:rPr>
              <w:t xml:space="preserve">and the DTI website at </w:t>
            </w:r>
            <w:hyperlink r:id="rId7" w:history="1">
              <w:r w:rsidRPr="007E7AFA">
                <w:rPr>
                  <w:rFonts w:ascii="Arial" w:hAnsi="Arial" w:cs="Arial"/>
                  <w:color w:val="BD392D"/>
                  <w:sz w:val="22"/>
                  <w:szCs w:val="22"/>
                  <w:u w:val="single"/>
                  <w:lang w:val="en-ZA"/>
                </w:rPr>
                <w:t>www.thedti.gov.za</w:t>
              </w:r>
            </w:hyperlink>
            <w:r w:rsidRPr="007E7AFA">
              <w:rPr>
                <w:rFonts w:ascii="Arial" w:hAnsi="Arial" w:cs="Arial"/>
                <w:sz w:val="22"/>
                <w:szCs w:val="22"/>
              </w:rPr>
              <w:t xml:space="preserve">. Should you have any further queries please contact the Standards Department by email: </w:t>
            </w:r>
            <w:hyperlink r:id="rId8" w:history="1">
              <w:r w:rsidRPr="007E7AFA">
                <w:rPr>
                  <w:rFonts w:ascii="Arial" w:hAnsi="Arial" w:cs="Arial"/>
                  <w:color w:val="3300CC"/>
                  <w:sz w:val="22"/>
                  <w:szCs w:val="22"/>
                  <w:u w:val="single"/>
                </w:rPr>
                <w:t>standards@irba.co.za</w:t>
              </w:r>
            </w:hyperlink>
            <w:r w:rsidRPr="007E7AFA">
              <w:rPr>
                <w:rFonts w:ascii="Arial" w:hAnsi="Arial" w:cs="Arial"/>
                <w:sz w:val="22"/>
                <w:szCs w:val="22"/>
              </w:rPr>
              <w:t>.</w:t>
            </w:r>
          </w:p>
          <w:p w:rsidR="007E7AFA" w:rsidRDefault="007E7AFA" w:rsidP="00B24852">
            <w:pPr>
              <w:spacing w:after="200" w:line="276" w:lineRule="auto"/>
              <w:ind w:right="539"/>
              <w:rPr>
                <w:rFonts w:ascii="Arial" w:eastAsiaTheme="minorHAnsi" w:hAnsi="Arial" w:cs="Arial"/>
                <w:b/>
                <w:bCs/>
                <w:sz w:val="22"/>
                <w:szCs w:val="22"/>
              </w:rPr>
            </w:pPr>
          </w:p>
          <w:p w:rsidR="007E7AFA" w:rsidRPr="00EB2425" w:rsidRDefault="007E7AFA" w:rsidP="00B24852">
            <w:pPr>
              <w:spacing w:after="200" w:line="276" w:lineRule="auto"/>
              <w:ind w:left="113" w:right="539"/>
              <w:jc w:val="center"/>
              <w:rPr>
                <w:rFonts w:ascii="Arial" w:eastAsiaTheme="minorHAnsi" w:hAnsi="Arial" w:cs="Arial"/>
                <w:b/>
                <w:bCs/>
                <w:sz w:val="22"/>
                <w:szCs w:val="22"/>
              </w:rPr>
            </w:pPr>
          </w:p>
          <w:p w:rsidR="007E7AFA" w:rsidRPr="00EB2425" w:rsidRDefault="007E7AFA" w:rsidP="00B24852">
            <w:pPr>
              <w:spacing w:after="200" w:line="276" w:lineRule="auto"/>
              <w:ind w:left="113" w:right="539"/>
              <w:jc w:val="center"/>
              <w:rPr>
                <w:rFonts w:ascii="Arial" w:eastAsiaTheme="minorHAnsi" w:hAnsi="Arial" w:cs="Arial"/>
                <w:b/>
                <w:bCs/>
                <w:sz w:val="22"/>
                <w:szCs w:val="22"/>
              </w:rPr>
            </w:pPr>
          </w:p>
          <w:p w:rsidR="007E7AFA" w:rsidRDefault="007E7AFA" w:rsidP="00B24852">
            <w:pPr>
              <w:spacing w:after="200" w:line="276" w:lineRule="auto"/>
              <w:ind w:left="113" w:right="539"/>
              <w:rPr>
                <w:rFonts w:ascii="Arial" w:eastAsiaTheme="minorHAnsi" w:hAnsi="Arial" w:cs="Arial"/>
                <w:b/>
                <w:bCs/>
                <w:sz w:val="22"/>
                <w:szCs w:val="22"/>
              </w:rPr>
            </w:pPr>
            <w:r w:rsidRPr="00EB2425">
              <w:rPr>
                <w:rFonts w:ascii="Arial" w:eastAsiaTheme="minorHAnsi" w:hAnsi="Arial" w:cs="Arial"/>
                <w:b/>
                <w:bCs/>
                <w:sz w:val="22"/>
                <w:szCs w:val="22"/>
              </w:rPr>
              <w:t>Imran Vanker</w:t>
            </w:r>
          </w:p>
          <w:p w:rsidR="007E7AFA" w:rsidRPr="00EB2425" w:rsidRDefault="007E7AFA" w:rsidP="00B24852">
            <w:pPr>
              <w:spacing w:after="200" w:line="276" w:lineRule="auto"/>
              <w:ind w:left="113" w:right="539"/>
              <w:rPr>
                <w:rFonts w:ascii="Arial" w:eastAsiaTheme="minorHAnsi" w:hAnsi="Arial" w:cs="Arial"/>
                <w:b/>
                <w:bCs/>
                <w:sz w:val="22"/>
                <w:szCs w:val="22"/>
              </w:rPr>
            </w:pPr>
            <w:r w:rsidRPr="00EB2425">
              <w:rPr>
                <w:rFonts w:ascii="Arial" w:eastAsiaTheme="minorHAnsi" w:hAnsi="Arial" w:cs="Arial"/>
                <w:b/>
                <w:bCs/>
                <w:sz w:val="22"/>
                <w:szCs w:val="22"/>
              </w:rPr>
              <w:t>Director: Standards</w:t>
            </w:r>
          </w:p>
          <w:p w:rsidR="007E7AFA" w:rsidRPr="00EB2425" w:rsidRDefault="007E7AFA" w:rsidP="00B24852">
            <w:pPr>
              <w:spacing w:after="200" w:line="276" w:lineRule="auto"/>
              <w:ind w:left="113" w:right="539"/>
              <w:rPr>
                <w:rFonts w:ascii="Arial" w:eastAsiaTheme="minorHAnsi" w:hAnsi="Arial" w:cs="Arial"/>
                <w:b/>
                <w:bCs/>
                <w:sz w:val="22"/>
                <w:szCs w:val="22"/>
              </w:rPr>
            </w:pPr>
          </w:p>
          <w:p w:rsidR="007E7AFA" w:rsidRPr="00EB2425" w:rsidRDefault="007E7AFA" w:rsidP="00B24852">
            <w:pPr>
              <w:spacing w:after="200" w:line="276" w:lineRule="auto"/>
              <w:ind w:right="539"/>
              <w:rPr>
                <w:rFonts w:ascii="Arial" w:eastAsiaTheme="minorHAnsi" w:hAnsi="Arial" w:cs="Arial"/>
                <w:b/>
                <w:bCs/>
                <w:i/>
                <w:sz w:val="22"/>
                <w:szCs w:val="22"/>
              </w:rPr>
            </w:pPr>
            <w:r w:rsidRPr="00EB2425">
              <w:rPr>
                <w:rFonts w:ascii="Arial" w:eastAsiaTheme="minorHAnsi" w:hAnsi="Arial" w:cs="Arial"/>
                <w:b/>
                <w:bCs/>
                <w:i/>
                <w:sz w:val="22"/>
                <w:szCs w:val="22"/>
              </w:rPr>
              <w:t>About the IRBA</w:t>
            </w:r>
          </w:p>
          <w:p w:rsidR="007E7AFA" w:rsidRPr="00EB2425" w:rsidRDefault="007E7AFA" w:rsidP="00B24852">
            <w:pPr>
              <w:spacing w:after="200" w:line="276" w:lineRule="auto"/>
              <w:ind w:right="150"/>
              <w:jc w:val="both"/>
              <w:rPr>
                <w:rFonts w:ascii="Arial" w:eastAsiaTheme="minorHAnsi" w:hAnsi="Arial" w:cs="Arial"/>
                <w:bCs/>
                <w:i/>
                <w:sz w:val="22"/>
                <w:szCs w:val="22"/>
              </w:rPr>
            </w:pPr>
            <w:r w:rsidRPr="00EB2425">
              <w:rPr>
                <w:rFonts w:ascii="Arial" w:eastAsiaTheme="minorHAnsi" w:hAnsi="Arial" w:cs="Arial"/>
                <w:bCs/>
                <w:i/>
                <w:sz w:val="22"/>
                <w:szCs w:val="22"/>
              </w:rPr>
              <w:t xml:space="preserve">The objective of the IRBA is to </w:t>
            </w:r>
            <w:proofErr w:type="spellStart"/>
            <w:r w:rsidRPr="00EB2425">
              <w:rPr>
                <w:rFonts w:ascii="Arial" w:eastAsiaTheme="minorHAnsi" w:hAnsi="Arial" w:cs="Arial"/>
                <w:bCs/>
                <w:i/>
                <w:sz w:val="22"/>
                <w:szCs w:val="22"/>
              </w:rPr>
              <w:t>endeavour</w:t>
            </w:r>
            <w:proofErr w:type="spellEnd"/>
            <w:r w:rsidRPr="00EB2425">
              <w:rPr>
                <w:rFonts w:ascii="Arial" w:eastAsiaTheme="minorHAnsi" w:hAnsi="Arial" w:cs="Arial"/>
                <w:bCs/>
                <w:i/>
                <w:sz w:val="22"/>
                <w:szCs w:val="22"/>
              </w:rPr>
              <w:t xml:space="preserve"> to protect the financial interests of the South African public and international investors in South Africa through the effective and appropriate regulation of audits conducted by registered auditors, in accordance with internationally </w:t>
            </w:r>
            <w:proofErr w:type="spellStart"/>
            <w:r w:rsidRPr="00EB2425">
              <w:rPr>
                <w:rFonts w:ascii="Arial" w:eastAsiaTheme="minorHAnsi" w:hAnsi="Arial" w:cs="Arial"/>
                <w:bCs/>
                <w:i/>
                <w:sz w:val="22"/>
                <w:szCs w:val="22"/>
              </w:rPr>
              <w:t>recognised</w:t>
            </w:r>
            <w:proofErr w:type="spellEnd"/>
            <w:r w:rsidRPr="00EB2425">
              <w:rPr>
                <w:rFonts w:ascii="Arial" w:eastAsiaTheme="minorHAnsi" w:hAnsi="Arial" w:cs="Arial"/>
                <w:bCs/>
                <w:i/>
                <w:sz w:val="22"/>
                <w:szCs w:val="22"/>
              </w:rPr>
              <w:t xml:space="preserve"> standards and processes.</w:t>
            </w:r>
          </w:p>
          <w:p w:rsidR="007E7AFA" w:rsidRPr="00EB2425" w:rsidRDefault="007E7AFA" w:rsidP="00B24852">
            <w:pPr>
              <w:spacing w:line="276" w:lineRule="auto"/>
              <w:jc w:val="both"/>
              <w:rPr>
                <w:rFonts w:ascii="Arial" w:eastAsiaTheme="minorHAnsi" w:hAnsi="Arial" w:cs="Arial"/>
                <w:i/>
                <w:lang w:val="en-ZA"/>
              </w:rPr>
            </w:pPr>
            <w:r w:rsidRPr="00EB2425">
              <w:rPr>
                <w:rFonts w:ascii="Arial" w:eastAsiaTheme="minorHAnsi" w:hAnsi="Arial" w:cs="Arial"/>
                <w:bCs/>
                <w:i/>
                <w:sz w:val="22"/>
                <w:szCs w:val="22"/>
              </w:rPr>
              <w:t>The statutory responsibility of the CFAS is to assist the IRBA to develop, maintain, adopt, issue or prescribe auditing pronouncements; to consider relevant international changes by monitoring developments by other auditing standard-setting bodies and sharing information where requested; and to promote and ensure the relevance of auditing pronouncements.</w:t>
            </w:r>
          </w:p>
          <w:p w:rsidR="007E7AFA" w:rsidRPr="0037741A" w:rsidRDefault="007E7AFA" w:rsidP="00B24852">
            <w:pPr>
              <w:rPr>
                <w:rFonts w:ascii="Arial" w:hAnsi="Arial" w:cs="Arial"/>
                <w:i/>
              </w:rPr>
            </w:pPr>
          </w:p>
          <w:p w:rsidR="007E7AFA" w:rsidRPr="0037741A" w:rsidRDefault="007E7AFA" w:rsidP="00B24852">
            <w:pPr>
              <w:spacing w:after="120"/>
              <w:jc w:val="both"/>
              <w:rPr>
                <w:rFonts w:ascii="Arial" w:hAnsi="Arial" w:cs="Arial"/>
                <w:i/>
                <w:iCs/>
                <w:sz w:val="18"/>
                <w:szCs w:val="18"/>
                <w:lang w:val="en-GB"/>
              </w:rPr>
            </w:pPr>
            <w:bookmarkStart w:id="1" w:name="Text2"/>
            <w:bookmarkEnd w:id="1"/>
          </w:p>
        </w:tc>
      </w:tr>
    </w:tbl>
    <w:p w:rsidR="007E7AFA" w:rsidRDefault="007E7AFA" w:rsidP="007E7AFA"/>
    <w:p w:rsidR="007E7AFA" w:rsidRDefault="007E7AFA" w:rsidP="007E7AFA"/>
    <w:p w:rsidR="007E7AFA" w:rsidRDefault="007E7AFA" w:rsidP="007E7AFA"/>
    <w:p w:rsidR="007E7AFA" w:rsidRDefault="007E7AFA" w:rsidP="007E7AFA"/>
    <w:p w:rsidR="005F7CBC" w:rsidRDefault="005F7CBC"/>
    <w:sectPr w:rsidR="005F7CBC" w:rsidSect="006F142B">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709C7"/>
    <w:multiLevelType w:val="hybridMultilevel"/>
    <w:tmpl w:val="69A6A57E"/>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
    <w:nsid w:val="6AA91781"/>
    <w:multiLevelType w:val="hybridMultilevel"/>
    <w:tmpl w:val="B14E6E52"/>
    <w:lvl w:ilvl="0" w:tplc="1C090001">
      <w:start w:val="1"/>
      <w:numFmt w:val="bullet"/>
      <w:lvlText w:val=""/>
      <w:lvlJc w:val="left"/>
      <w:pPr>
        <w:ind w:left="-12" w:hanging="360"/>
      </w:pPr>
      <w:rPr>
        <w:rFonts w:ascii="Symbol" w:hAnsi="Symbol" w:hint="default"/>
      </w:rPr>
    </w:lvl>
    <w:lvl w:ilvl="1" w:tplc="1C090003">
      <w:start w:val="1"/>
      <w:numFmt w:val="bullet"/>
      <w:lvlText w:val="o"/>
      <w:lvlJc w:val="left"/>
      <w:pPr>
        <w:ind w:left="708" w:hanging="360"/>
      </w:pPr>
      <w:rPr>
        <w:rFonts w:ascii="Courier New" w:hAnsi="Courier New" w:cs="Courier New" w:hint="default"/>
      </w:rPr>
    </w:lvl>
    <w:lvl w:ilvl="2" w:tplc="1C090005" w:tentative="1">
      <w:start w:val="1"/>
      <w:numFmt w:val="bullet"/>
      <w:lvlText w:val=""/>
      <w:lvlJc w:val="left"/>
      <w:pPr>
        <w:ind w:left="1428" w:hanging="360"/>
      </w:pPr>
      <w:rPr>
        <w:rFonts w:ascii="Wingdings" w:hAnsi="Wingdings" w:hint="default"/>
      </w:rPr>
    </w:lvl>
    <w:lvl w:ilvl="3" w:tplc="1C090001" w:tentative="1">
      <w:start w:val="1"/>
      <w:numFmt w:val="bullet"/>
      <w:lvlText w:val=""/>
      <w:lvlJc w:val="left"/>
      <w:pPr>
        <w:ind w:left="2148" w:hanging="360"/>
      </w:pPr>
      <w:rPr>
        <w:rFonts w:ascii="Symbol" w:hAnsi="Symbol" w:hint="default"/>
      </w:rPr>
    </w:lvl>
    <w:lvl w:ilvl="4" w:tplc="1C090003" w:tentative="1">
      <w:start w:val="1"/>
      <w:numFmt w:val="bullet"/>
      <w:lvlText w:val="o"/>
      <w:lvlJc w:val="left"/>
      <w:pPr>
        <w:ind w:left="2868" w:hanging="360"/>
      </w:pPr>
      <w:rPr>
        <w:rFonts w:ascii="Courier New" w:hAnsi="Courier New" w:cs="Courier New" w:hint="default"/>
      </w:rPr>
    </w:lvl>
    <w:lvl w:ilvl="5" w:tplc="1C090005" w:tentative="1">
      <w:start w:val="1"/>
      <w:numFmt w:val="bullet"/>
      <w:lvlText w:val=""/>
      <w:lvlJc w:val="left"/>
      <w:pPr>
        <w:ind w:left="3588" w:hanging="360"/>
      </w:pPr>
      <w:rPr>
        <w:rFonts w:ascii="Wingdings" w:hAnsi="Wingdings" w:hint="default"/>
      </w:rPr>
    </w:lvl>
    <w:lvl w:ilvl="6" w:tplc="1C090001" w:tentative="1">
      <w:start w:val="1"/>
      <w:numFmt w:val="bullet"/>
      <w:lvlText w:val=""/>
      <w:lvlJc w:val="left"/>
      <w:pPr>
        <w:ind w:left="4308" w:hanging="360"/>
      </w:pPr>
      <w:rPr>
        <w:rFonts w:ascii="Symbol" w:hAnsi="Symbol" w:hint="default"/>
      </w:rPr>
    </w:lvl>
    <w:lvl w:ilvl="7" w:tplc="1C090003" w:tentative="1">
      <w:start w:val="1"/>
      <w:numFmt w:val="bullet"/>
      <w:lvlText w:val="o"/>
      <w:lvlJc w:val="left"/>
      <w:pPr>
        <w:ind w:left="5028" w:hanging="360"/>
      </w:pPr>
      <w:rPr>
        <w:rFonts w:ascii="Courier New" w:hAnsi="Courier New" w:cs="Courier New" w:hint="default"/>
      </w:rPr>
    </w:lvl>
    <w:lvl w:ilvl="8" w:tplc="1C090005" w:tentative="1">
      <w:start w:val="1"/>
      <w:numFmt w:val="bullet"/>
      <w:lvlText w:val=""/>
      <w:lvlJc w:val="left"/>
      <w:pPr>
        <w:ind w:left="574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AFA"/>
    <w:rsid w:val="005F7CBC"/>
    <w:rsid w:val="007E7AFA"/>
    <w:rsid w:val="009D56D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AF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AFA"/>
    <w:pPr>
      <w:ind w:left="720"/>
      <w:contextualSpacing/>
    </w:pPr>
  </w:style>
  <w:style w:type="character" w:styleId="Hyperlink">
    <w:name w:val="Hyperlink"/>
    <w:basedOn w:val="DefaultParagraphFont"/>
    <w:uiPriority w:val="99"/>
    <w:unhideWhenUsed/>
    <w:rsid w:val="007E7AFA"/>
    <w:rPr>
      <w:color w:val="0000FF" w:themeColor="hyperlink"/>
      <w:u w:val="single"/>
    </w:rPr>
  </w:style>
  <w:style w:type="paragraph" w:styleId="NormalWeb">
    <w:name w:val="Normal (Web)"/>
    <w:basedOn w:val="Normal"/>
    <w:uiPriority w:val="99"/>
    <w:rsid w:val="007E7AF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AF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AFA"/>
    <w:pPr>
      <w:ind w:left="720"/>
      <w:contextualSpacing/>
    </w:pPr>
  </w:style>
  <w:style w:type="character" w:styleId="Hyperlink">
    <w:name w:val="Hyperlink"/>
    <w:basedOn w:val="DefaultParagraphFont"/>
    <w:uiPriority w:val="99"/>
    <w:unhideWhenUsed/>
    <w:rsid w:val="007E7AFA"/>
    <w:rPr>
      <w:color w:val="0000FF" w:themeColor="hyperlink"/>
      <w:u w:val="single"/>
    </w:rPr>
  </w:style>
  <w:style w:type="paragraph" w:styleId="NormalWeb">
    <w:name w:val="Normal (Web)"/>
    <w:basedOn w:val="Normal"/>
    <w:uiPriority w:val="99"/>
    <w:rsid w:val="007E7AF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dards@irba.co.za" TargetMode="External"/><Relationship Id="rId3" Type="http://schemas.microsoft.com/office/2007/relationships/stylesWithEffects" Target="stylesWithEffects.xml"/><Relationship Id="rId7" Type="http://schemas.openxmlformats.org/officeDocument/2006/relationships/hyperlink" Target="http://www.thedti.gov.za/financial_assistance/financial_incentive.jsp?id=45&amp;subthemeid=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ba.co.za/index.php/regulated-industries-functions-74/187-attorneysa700-trust-account/820-section-12i-tax-allowance-incentive-programm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Lebogang Manganye</dc:creator>
  <cp:lastModifiedBy>Pamela De Klerk</cp:lastModifiedBy>
  <cp:revision>2</cp:revision>
  <dcterms:created xsi:type="dcterms:W3CDTF">2015-08-06T14:04:00Z</dcterms:created>
  <dcterms:modified xsi:type="dcterms:W3CDTF">2015-08-06T14:04:00Z</dcterms:modified>
</cp:coreProperties>
</file>