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C35" w:rsidRPr="00F76271" w:rsidRDefault="00981C35">
      <w:pPr>
        <w:rPr>
          <w:rFonts w:ascii="Arial" w:hAnsi="Arial" w:cs="Arial"/>
        </w:rPr>
      </w:pPr>
    </w:p>
    <w:tbl>
      <w:tblPr>
        <w:tblStyle w:val="TableGrid"/>
        <w:tblW w:w="0" w:type="auto"/>
        <w:tblCellMar>
          <w:left w:w="57" w:type="dxa"/>
          <w:right w:w="57" w:type="dxa"/>
        </w:tblCellMar>
        <w:tblLook w:val="04A0" w:firstRow="1" w:lastRow="0" w:firstColumn="1" w:lastColumn="0" w:noHBand="0" w:noVBand="1"/>
      </w:tblPr>
      <w:tblGrid>
        <w:gridCol w:w="9860"/>
      </w:tblGrid>
      <w:tr w:rsidR="0051506B" w:rsidTr="0051506B">
        <w:tc>
          <w:tcPr>
            <w:tcW w:w="9962" w:type="dxa"/>
            <w:tcBorders>
              <w:top w:val="single" w:sz="4" w:space="0" w:color="auto"/>
              <w:left w:val="nil"/>
              <w:bottom w:val="single" w:sz="4" w:space="0" w:color="auto"/>
              <w:right w:val="nil"/>
            </w:tcBorders>
          </w:tcPr>
          <w:p w:rsidR="0051506B" w:rsidRPr="0051506B" w:rsidRDefault="0051506B" w:rsidP="0051506B">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tc>
      </w:tr>
    </w:tbl>
    <w:p w:rsidR="00F76271" w:rsidRDefault="00F76271">
      <w:pPr>
        <w:rPr>
          <w:rFonts w:ascii="Arial" w:hAnsi="Arial" w:cs="Arial"/>
        </w:rPr>
      </w:pPr>
    </w:p>
    <w:tbl>
      <w:tblPr>
        <w:tblStyle w:val="TableGrid"/>
        <w:tblW w:w="0" w:type="auto"/>
        <w:tblLook w:val="04A0" w:firstRow="1" w:lastRow="0" w:firstColumn="1" w:lastColumn="0" w:noHBand="0" w:noVBand="1"/>
      </w:tblPr>
      <w:tblGrid>
        <w:gridCol w:w="9962"/>
      </w:tblGrid>
      <w:tr w:rsidR="0051506B" w:rsidTr="0051506B">
        <w:tc>
          <w:tcPr>
            <w:tcW w:w="9962" w:type="dxa"/>
            <w:tcBorders>
              <w:top w:val="nil"/>
              <w:left w:val="nil"/>
              <w:bottom w:val="nil"/>
              <w:right w:val="nil"/>
            </w:tcBorders>
          </w:tcPr>
          <w:p w:rsidR="0051506B" w:rsidRPr="000C307C" w:rsidRDefault="0051506B" w:rsidP="0051506B">
            <w:pPr>
              <w:jc w:val="center"/>
              <w:rPr>
                <w:rFonts w:ascii="Arial" w:hAnsi="Arial" w:cs="Arial"/>
                <w:b/>
                <w:bCs/>
                <w:iCs/>
                <w:sz w:val="22"/>
                <w:szCs w:val="22"/>
                <w:lang w:val="en-GB"/>
              </w:rPr>
            </w:pPr>
            <w:r w:rsidRPr="000C307C">
              <w:rPr>
                <w:rFonts w:ascii="Arial" w:hAnsi="Arial" w:cs="Arial"/>
                <w:b/>
                <w:bCs/>
                <w:iCs/>
                <w:sz w:val="22"/>
                <w:szCs w:val="22"/>
                <w:lang w:val="en-GB"/>
              </w:rPr>
              <w:t>Revised Guide for Registered Auditors:</w:t>
            </w:r>
          </w:p>
          <w:p w:rsidR="0051506B" w:rsidRDefault="0051506B" w:rsidP="0051506B">
            <w:pPr>
              <w:spacing w:before="120" w:after="120"/>
              <w:jc w:val="center"/>
              <w:rPr>
                <w:rFonts w:ascii="Arial" w:hAnsi="Arial" w:cs="Arial"/>
                <w:b/>
                <w:sz w:val="22"/>
                <w:szCs w:val="22"/>
                <w:lang w:val="en-ZA"/>
              </w:rPr>
            </w:pPr>
            <w:r w:rsidRPr="000C307C">
              <w:rPr>
                <w:rFonts w:ascii="Arial" w:hAnsi="Arial" w:cs="Arial"/>
                <w:b/>
                <w:i/>
                <w:sz w:val="22"/>
                <w:szCs w:val="22"/>
                <w:lang w:val="en-ZA"/>
              </w:rPr>
              <w:t>Reportable Irregularities in terms of the Auditing Profession Act</w:t>
            </w:r>
          </w:p>
          <w:p w:rsidR="0051506B" w:rsidRPr="00F76271" w:rsidRDefault="0051506B" w:rsidP="0051506B">
            <w:pPr>
              <w:spacing w:before="120" w:after="120"/>
              <w:jc w:val="center"/>
              <w:rPr>
                <w:rFonts w:ascii="Arial" w:hAnsi="Arial" w:cs="Arial"/>
                <w:sz w:val="22"/>
                <w:szCs w:val="22"/>
                <w:lang w:val="en-GB"/>
              </w:rPr>
            </w:pPr>
            <w:r>
              <w:rPr>
                <w:rFonts w:ascii="Arial" w:hAnsi="Arial" w:cs="Arial"/>
                <w:sz w:val="22"/>
                <w:szCs w:val="22"/>
                <w:lang w:val="en-GB"/>
              </w:rPr>
              <w:t>Johannesburg / 24 June 2015</w:t>
            </w:r>
          </w:p>
          <w:p w:rsidR="0051506B" w:rsidRDefault="0051506B" w:rsidP="0051506B">
            <w:pPr>
              <w:pStyle w:val="NormalWeb"/>
              <w:jc w:val="both"/>
              <w:rPr>
                <w:rFonts w:ascii="Arial" w:hAnsi="Arial" w:cs="Arial"/>
                <w:bCs/>
                <w:sz w:val="22"/>
                <w:szCs w:val="22"/>
                <w:lang w:val="en-ZA"/>
              </w:rPr>
            </w:pPr>
          </w:p>
          <w:p w:rsidR="0051506B" w:rsidRPr="003D3E83" w:rsidRDefault="0051506B" w:rsidP="0051506B">
            <w:pPr>
              <w:pStyle w:val="NormalWeb"/>
              <w:jc w:val="both"/>
              <w:rPr>
                <w:rFonts w:ascii="Arial" w:hAnsi="Arial" w:cs="Arial"/>
                <w:bCs/>
                <w:sz w:val="22"/>
                <w:szCs w:val="22"/>
                <w:lang w:val="en-ZA"/>
              </w:rPr>
            </w:pPr>
            <w:r>
              <w:rPr>
                <w:rFonts w:ascii="Arial" w:hAnsi="Arial" w:cs="Arial"/>
                <w:bCs/>
                <w:sz w:val="22"/>
                <w:szCs w:val="22"/>
                <w:lang w:val="en-ZA"/>
              </w:rPr>
              <w:t>The</w:t>
            </w:r>
            <w:r w:rsidRPr="003D3E83">
              <w:rPr>
                <w:rFonts w:ascii="Arial" w:hAnsi="Arial" w:cs="Arial"/>
                <w:bCs/>
                <w:sz w:val="22"/>
                <w:szCs w:val="22"/>
                <w:lang w:val="en-ZA"/>
              </w:rPr>
              <w:t xml:space="preserve"> </w:t>
            </w:r>
            <w:r>
              <w:rPr>
                <w:rFonts w:ascii="Arial" w:hAnsi="Arial" w:cs="Arial"/>
                <w:bCs/>
                <w:sz w:val="22"/>
                <w:szCs w:val="22"/>
                <w:lang w:val="en-ZA"/>
              </w:rPr>
              <w:t xml:space="preserve">Revised </w:t>
            </w:r>
            <w:r w:rsidRPr="003D3E83">
              <w:rPr>
                <w:rFonts w:ascii="Arial" w:hAnsi="Arial" w:cs="Arial"/>
                <w:bCs/>
                <w:sz w:val="22"/>
                <w:szCs w:val="22"/>
                <w:lang w:val="en-ZA"/>
              </w:rPr>
              <w:t xml:space="preserve">Guide for Registered Auditors: </w:t>
            </w:r>
            <w:r w:rsidRPr="003D3E83">
              <w:rPr>
                <w:rFonts w:ascii="Arial" w:hAnsi="Arial" w:cs="Arial"/>
                <w:bCs/>
                <w:i/>
                <w:sz w:val="22"/>
                <w:szCs w:val="22"/>
                <w:lang w:val="en-ZA"/>
              </w:rPr>
              <w:t>Reportable Irregularities in terms of the Auditing Profession Act</w:t>
            </w:r>
            <w:r w:rsidRPr="003D3E83">
              <w:rPr>
                <w:rFonts w:ascii="Arial" w:hAnsi="Arial" w:cs="Arial"/>
                <w:bCs/>
                <w:sz w:val="22"/>
                <w:szCs w:val="22"/>
                <w:lang w:val="en-ZA"/>
              </w:rPr>
              <w:t xml:space="preserve"> </w:t>
            </w:r>
            <w:r>
              <w:rPr>
                <w:rFonts w:ascii="Arial" w:hAnsi="Arial" w:cs="Arial"/>
                <w:bCs/>
                <w:sz w:val="22"/>
                <w:szCs w:val="22"/>
                <w:lang w:val="en-ZA"/>
              </w:rPr>
              <w:t>(the</w:t>
            </w:r>
            <w:r w:rsidRPr="003D3E83">
              <w:rPr>
                <w:rFonts w:ascii="Arial" w:hAnsi="Arial" w:cs="Arial"/>
                <w:bCs/>
                <w:sz w:val="22"/>
                <w:szCs w:val="22"/>
                <w:lang w:val="en-ZA"/>
              </w:rPr>
              <w:t xml:space="preserve"> Guide) </w:t>
            </w:r>
            <w:r>
              <w:rPr>
                <w:rFonts w:ascii="Arial" w:hAnsi="Arial" w:cs="Arial"/>
                <w:bCs/>
                <w:sz w:val="22"/>
                <w:szCs w:val="22"/>
                <w:lang w:val="en-ZA"/>
              </w:rPr>
              <w:t xml:space="preserve">is now available. The Guide </w:t>
            </w:r>
            <w:r w:rsidRPr="003D3E83">
              <w:rPr>
                <w:rFonts w:ascii="Arial" w:hAnsi="Arial" w:cs="Arial"/>
                <w:bCs/>
                <w:sz w:val="22"/>
                <w:szCs w:val="22"/>
                <w:lang w:val="en-ZA"/>
              </w:rPr>
              <w:t xml:space="preserve">was </w:t>
            </w:r>
            <w:r>
              <w:rPr>
                <w:rFonts w:ascii="Arial" w:hAnsi="Arial" w:cs="Arial"/>
                <w:bCs/>
                <w:sz w:val="22"/>
                <w:szCs w:val="22"/>
                <w:lang w:val="en-ZA"/>
              </w:rPr>
              <w:t xml:space="preserve">prepared by a Task Group </w:t>
            </w:r>
            <w:r w:rsidRPr="003D3E83">
              <w:rPr>
                <w:rFonts w:ascii="Arial" w:hAnsi="Arial" w:cs="Arial"/>
                <w:bCs/>
                <w:sz w:val="22"/>
                <w:szCs w:val="22"/>
                <w:lang w:val="en-ZA"/>
              </w:rPr>
              <w:t>of the Independent Regulatory Board for Auditors</w:t>
            </w:r>
            <w:r>
              <w:rPr>
                <w:rFonts w:ascii="Arial" w:hAnsi="Arial" w:cs="Arial"/>
                <w:bCs/>
                <w:sz w:val="22"/>
                <w:szCs w:val="22"/>
                <w:lang w:val="en-ZA"/>
              </w:rPr>
              <w:t xml:space="preserve"> (IRBA)</w:t>
            </w:r>
            <w:r w:rsidRPr="009640B4">
              <w:rPr>
                <w:rFonts w:ascii="Arial" w:eastAsia="Calibri" w:hAnsi="Arial" w:cs="Arial"/>
                <w:sz w:val="22"/>
                <w:szCs w:val="22"/>
                <w:lang w:val="en-ZA"/>
              </w:rPr>
              <w:t xml:space="preserve"> </w:t>
            </w:r>
            <w:r w:rsidRPr="009640B4">
              <w:rPr>
                <w:rFonts w:ascii="Arial" w:hAnsi="Arial" w:cs="Arial"/>
                <w:bCs/>
                <w:sz w:val="22"/>
                <w:szCs w:val="22"/>
                <w:lang w:val="en-ZA"/>
              </w:rPr>
              <w:t>comprising representatives of large, medium and small audit firms, the Companies and Intellectual Property Commission (CIPC) and the South African Institute of Chartered Accountants (SAICA)</w:t>
            </w:r>
            <w:r w:rsidRPr="003D3E83">
              <w:rPr>
                <w:rFonts w:ascii="Arial" w:hAnsi="Arial" w:cs="Arial"/>
                <w:bCs/>
                <w:sz w:val="22"/>
                <w:szCs w:val="22"/>
                <w:lang w:val="en-ZA"/>
              </w:rPr>
              <w:t>.</w:t>
            </w:r>
          </w:p>
          <w:p w:rsidR="0051506B" w:rsidRPr="003D3E83" w:rsidRDefault="0051506B" w:rsidP="0051506B">
            <w:pPr>
              <w:pStyle w:val="NormalWeb"/>
              <w:jc w:val="both"/>
              <w:rPr>
                <w:rFonts w:ascii="Arial" w:hAnsi="Arial" w:cs="Arial"/>
                <w:bCs/>
                <w:sz w:val="22"/>
                <w:szCs w:val="22"/>
                <w:lang w:val="en-ZA"/>
              </w:rPr>
            </w:pPr>
            <w:r>
              <w:rPr>
                <w:rFonts w:ascii="Arial" w:hAnsi="Arial" w:cs="Arial"/>
                <w:bCs/>
                <w:sz w:val="22"/>
                <w:szCs w:val="22"/>
                <w:lang w:val="en-ZA"/>
              </w:rPr>
              <w:t>The Board</w:t>
            </w:r>
            <w:r w:rsidRPr="003D3E83">
              <w:rPr>
                <w:rFonts w:ascii="Arial" w:hAnsi="Arial" w:cs="Arial"/>
                <w:bCs/>
                <w:sz w:val="22"/>
                <w:szCs w:val="22"/>
                <w:lang w:val="en-ZA"/>
              </w:rPr>
              <w:t xml:space="preserve"> </w:t>
            </w:r>
            <w:r>
              <w:rPr>
                <w:rFonts w:ascii="Arial" w:hAnsi="Arial" w:cs="Arial"/>
                <w:bCs/>
                <w:sz w:val="22"/>
                <w:szCs w:val="22"/>
                <w:lang w:val="en-ZA"/>
              </w:rPr>
              <w:t>of the IRBA approved the Guide for issue in May 2015</w:t>
            </w:r>
            <w:r w:rsidR="00A23544">
              <w:rPr>
                <w:rFonts w:ascii="Arial" w:hAnsi="Arial" w:cs="Arial"/>
                <w:bCs/>
                <w:sz w:val="22"/>
                <w:szCs w:val="22"/>
                <w:lang w:val="en-ZA"/>
              </w:rPr>
              <w:t>,</w:t>
            </w:r>
            <w:r w:rsidRPr="003D3E83">
              <w:rPr>
                <w:rFonts w:ascii="Arial" w:hAnsi="Arial" w:cs="Arial"/>
                <w:bCs/>
                <w:sz w:val="22"/>
                <w:szCs w:val="22"/>
                <w:lang w:val="en-ZA"/>
              </w:rPr>
              <w:t xml:space="preserve"> </w:t>
            </w:r>
            <w:r>
              <w:rPr>
                <w:rFonts w:ascii="Arial" w:hAnsi="Arial" w:cs="Arial"/>
                <w:bCs/>
                <w:sz w:val="22"/>
                <w:szCs w:val="22"/>
                <w:lang w:val="en-ZA"/>
              </w:rPr>
              <w:t xml:space="preserve">which replaces the previous </w:t>
            </w:r>
            <w:r w:rsidRPr="003D3E83">
              <w:rPr>
                <w:rFonts w:ascii="Arial" w:hAnsi="Arial" w:cs="Arial"/>
                <w:bCs/>
                <w:sz w:val="22"/>
                <w:szCs w:val="22"/>
                <w:lang w:val="en-ZA"/>
              </w:rPr>
              <w:t>Guide, namely "</w:t>
            </w:r>
            <w:r w:rsidRPr="00EC5A50">
              <w:rPr>
                <w:rFonts w:ascii="Arial" w:hAnsi="Arial" w:cs="Arial"/>
                <w:bCs/>
                <w:i/>
                <w:sz w:val="22"/>
                <w:szCs w:val="22"/>
                <w:lang w:val="en-ZA"/>
              </w:rPr>
              <w:t>Reportable Irregularities: A Guide for Registered Auditors</w:t>
            </w:r>
            <w:r w:rsidR="00EC5A50">
              <w:rPr>
                <w:rFonts w:ascii="Arial" w:hAnsi="Arial" w:cs="Arial"/>
                <w:bCs/>
                <w:sz w:val="22"/>
                <w:szCs w:val="22"/>
                <w:lang w:val="en-ZA"/>
              </w:rPr>
              <w:t xml:space="preserve">” issued in June </w:t>
            </w:r>
            <w:proofErr w:type="gramStart"/>
            <w:r w:rsidR="00EC5A50">
              <w:rPr>
                <w:rFonts w:ascii="Arial" w:hAnsi="Arial" w:cs="Arial"/>
                <w:bCs/>
                <w:sz w:val="22"/>
                <w:szCs w:val="22"/>
                <w:lang w:val="en-ZA"/>
              </w:rPr>
              <w:t xml:space="preserve">2006, </w:t>
            </w:r>
            <w:r w:rsidRPr="003D3E83">
              <w:rPr>
                <w:rFonts w:ascii="Arial" w:hAnsi="Arial" w:cs="Arial"/>
                <w:bCs/>
                <w:sz w:val="22"/>
                <w:szCs w:val="22"/>
                <w:lang w:val="en-ZA"/>
              </w:rPr>
              <w:t>that</w:t>
            </w:r>
            <w:proofErr w:type="gramEnd"/>
            <w:r w:rsidRPr="003D3E83">
              <w:rPr>
                <w:rFonts w:ascii="Arial" w:hAnsi="Arial" w:cs="Arial"/>
                <w:bCs/>
                <w:sz w:val="22"/>
                <w:szCs w:val="22"/>
                <w:lang w:val="en-ZA"/>
              </w:rPr>
              <w:t xml:space="preserve"> has been withdrawn. </w:t>
            </w:r>
          </w:p>
          <w:p w:rsidR="0051506B" w:rsidRDefault="0051506B" w:rsidP="0051506B">
            <w:pPr>
              <w:pStyle w:val="NormalWeb"/>
              <w:jc w:val="both"/>
              <w:rPr>
                <w:rFonts w:ascii="Arial" w:hAnsi="Arial" w:cs="Arial"/>
                <w:sz w:val="22"/>
                <w:szCs w:val="22"/>
                <w:lang w:val="en-ZA"/>
              </w:rPr>
            </w:pPr>
            <w:r>
              <w:rPr>
                <w:rFonts w:ascii="Arial" w:hAnsi="Arial" w:cs="Arial"/>
                <w:bCs/>
                <w:sz w:val="22"/>
                <w:szCs w:val="22"/>
                <w:lang w:val="en-GB"/>
              </w:rPr>
              <w:t xml:space="preserve">The Guide </w:t>
            </w:r>
            <w:r w:rsidRPr="000C307C">
              <w:rPr>
                <w:rFonts w:ascii="Arial" w:hAnsi="Arial" w:cs="Arial"/>
                <w:bCs/>
                <w:sz w:val="22"/>
                <w:szCs w:val="22"/>
                <w:lang w:val="en-GB"/>
              </w:rPr>
              <w:t>provides guidance to</w:t>
            </w:r>
            <w:r>
              <w:rPr>
                <w:rFonts w:ascii="Arial" w:hAnsi="Arial" w:cs="Arial"/>
                <w:bCs/>
                <w:sz w:val="22"/>
                <w:szCs w:val="22"/>
                <w:lang w:val="en-GB"/>
              </w:rPr>
              <w:t xml:space="preserve"> Registered Auditors </w:t>
            </w:r>
            <w:r w:rsidRPr="000C307C">
              <w:rPr>
                <w:rFonts w:ascii="Arial" w:hAnsi="Arial" w:cs="Arial"/>
                <w:bCs/>
                <w:sz w:val="22"/>
                <w:szCs w:val="22"/>
                <w:lang w:val="en-GB"/>
              </w:rPr>
              <w:t>in implementing the requirements of the Auditing Profession Act, 2005 (Act 26 of 2005) (the APA) when reporting</w:t>
            </w:r>
            <w:r w:rsidRPr="000C307C">
              <w:rPr>
                <w:rFonts w:ascii="Arial" w:hAnsi="Arial" w:cs="Arial"/>
                <w:bCs/>
                <w:i/>
                <w:sz w:val="22"/>
                <w:szCs w:val="22"/>
                <w:lang w:val="en-GB"/>
              </w:rPr>
              <w:t xml:space="preserve"> </w:t>
            </w:r>
            <w:r w:rsidRPr="000C307C">
              <w:rPr>
                <w:rFonts w:ascii="Arial" w:hAnsi="Arial" w:cs="Arial"/>
                <w:bCs/>
                <w:sz w:val="22"/>
                <w:szCs w:val="22"/>
                <w:lang w:val="en-GB"/>
              </w:rPr>
              <w:t>reportable irregularities, in terms of section 45</w:t>
            </w:r>
            <w:r w:rsidRPr="003A2F4D">
              <w:rPr>
                <w:rFonts w:ascii="Arial" w:hAnsi="Arial" w:cs="Arial"/>
                <w:sz w:val="22"/>
                <w:szCs w:val="22"/>
                <w:lang w:val="en-ZA"/>
              </w:rPr>
              <w:t>.</w:t>
            </w:r>
            <w:r>
              <w:rPr>
                <w:rFonts w:ascii="Arial" w:hAnsi="Arial" w:cs="Arial"/>
                <w:sz w:val="22"/>
                <w:szCs w:val="22"/>
                <w:lang w:val="en-ZA"/>
              </w:rPr>
              <w:t xml:space="preserve"> </w:t>
            </w:r>
          </w:p>
          <w:p w:rsidR="0051506B" w:rsidRPr="00464CD9" w:rsidRDefault="0051506B" w:rsidP="0051506B">
            <w:pPr>
              <w:pStyle w:val="NormalWeb"/>
              <w:jc w:val="both"/>
              <w:rPr>
                <w:rFonts w:ascii="Arial" w:hAnsi="Arial" w:cs="Arial"/>
                <w:sz w:val="22"/>
                <w:szCs w:val="22"/>
                <w:lang w:val="en-ZA"/>
              </w:rPr>
            </w:pPr>
            <w:r>
              <w:rPr>
                <w:rFonts w:ascii="Arial" w:hAnsi="Arial" w:cs="Arial"/>
                <w:sz w:val="22"/>
                <w:szCs w:val="22"/>
                <w:lang w:val="en-ZA"/>
              </w:rPr>
              <w:t>Registered Auditors are encouraged to familiarise themselves with the Guide, and are reminded that the IRBA monitors compliance with section 45 during its inspections.</w:t>
            </w:r>
          </w:p>
          <w:p w:rsidR="0051506B" w:rsidRDefault="0051506B" w:rsidP="0051506B">
            <w:pPr>
              <w:pStyle w:val="NormalWeb"/>
              <w:spacing w:after="120"/>
              <w:jc w:val="both"/>
              <w:rPr>
                <w:rFonts w:ascii="Arial" w:hAnsi="Arial" w:cs="Arial"/>
                <w:sz w:val="22"/>
                <w:szCs w:val="22"/>
                <w:lang w:val="en-ZA"/>
              </w:rPr>
            </w:pPr>
            <w:r>
              <w:rPr>
                <w:rFonts w:ascii="Arial" w:hAnsi="Arial" w:cs="Arial"/>
                <w:sz w:val="22"/>
                <w:szCs w:val="22"/>
                <w:lang w:val="en-ZA"/>
              </w:rPr>
              <w:t>The</w:t>
            </w:r>
            <w:r w:rsidRPr="000C307C">
              <w:rPr>
                <w:rFonts w:ascii="Arial" w:hAnsi="Arial" w:cs="Arial"/>
                <w:sz w:val="22"/>
                <w:szCs w:val="22"/>
                <w:lang w:val="en-ZA"/>
              </w:rPr>
              <w:t xml:space="preserve"> Guide addresses the following:</w:t>
            </w:r>
          </w:p>
          <w:p w:rsidR="0051506B" w:rsidRDefault="0051506B" w:rsidP="0051506B">
            <w:pPr>
              <w:pStyle w:val="NormalWeb"/>
              <w:numPr>
                <w:ilvl w:val="0"/>
                <w:numId w:val="1"/>
              </w:numPr>
              <w:tabs>
                <w:tab w:val="left" w:pos="1418"/>
                <w:tab w:val="left" w:pos="1701"/>
              </w:tabs>
              <w:spacing w:before="120" w:beforeAutospacing="0"/>
              <w:jc w:val="both"/>
              <w:rPr>
                <w:rFonts w:ascii="Arial" w:hAnsi="Arial" w:cs="Arial"/>
                <w:sz w:val="22"/>
                <w:szCs w:val="22"/>
                <w:lang w:val="en-ZA"/>
              </w:rPr>
            </w:pPr>
            <w:r>
              <w:rPr>
                <w:rFonts w:ascii="Arial" w:hAnsi="Arial" w:cs="Arial"/>
                <w:sz w:val="22"/>
                <w:szCs w:val="22"/>
                <w:lang w:val="en-ZA"/>
              </w:rPr>
              <w:t xml:space="preserve">Part 1: </w:t>
            </w:r>
            <w:r w:rsidRPr="000C307C">
              <w:rPr>
                <w:rFonts w:ascii="Arial" w:hAnsi="Arial" w:cs="Arial"/>
                <w:sz w:val="22"/>
                <w:szCs w:val="22"/>
                <w:lang w:val="en-ZA"/>
              </w:rPr>
              <w:t>Provides the definition of a reportable irregularity and general principles</w:t>
            </w:r>
            <w:r>
              <w:rPr>
                <w:rFonts w:ascii="Arial" w:hAnsi="Arial" w:cs="Arial"/>
                <w:sz w:val="22"/>
                <w:szCs w:val="22"/>
                <w:lang w:val="en-ZA"/>
              </w:rPr>
              <w:t>.</w:t>
            </w:r>
          </w:p>
          <w:p w:rsidR="0051506B" w:rsidRDefault="0051506B" w:rsidP="0051506B">
            <w:pPr>
              <w:pStyle w:val="NormalWeb"/>
              <w:numPr>
                <w:ilvl w:val="0"/>
                <w:numId w:val="1"/>
              </w:numPr>
              <w:tabs>
                <w:tab w:val="left" w:pos="1418"/>
                <w:tab w:val="left" w:pos="1701"/>
              </w:tabs>
              <w:spacing w:before="120" w:beforeAutospacing="0"/>
              <w:jc w:val="both"/>
              <w:rPr>
                <w:rFonts w:ascii="Arial" w:hAnsi="Arial" w:cs="Arial"/>
                <w:sz w:val="22"/>
                <w:szCs w:val="22"/>
                <w:lang w:val="en-ZA"/>
              </w:rPr>
            </w:pPr>
            <w:r>
              <w:rPr>
                <w:rFonts w:ascii="Arial" w:hAnsi="Arial" w:cs="Arial"/>
                <w:sz w:val="22"/>
                <w:szCs w:val="22"/>
                <w:lang w:val="en-ZA"/>
              </w:rPr>
              <w:t>Part 2: Deals with when the obligation</w:t>
            </w:r>
            <w:r w:rsidRPr="000C307C">
              <w:rPr>
                <w:rFonts w:ascii="Arial" w:hAnsi="Arial" w:cs="Arial"/>
                <w:sz w:val="22"/>
                <w:szCs w:val="22"/>
                <w:lang w:val="en-ZA"/>
              </w:rPr>
              <w:t xml:space="preserve"> to report irregularities arises and highlights when this guide becomes applicable. It also highlights the process followed by the </w:t>
            </w:r>
            <w:r>
              <w:rPr>
                <w:rFonts w:ascii="Arial" w:hAnsi="Arial" w:cs="Arial"/>
                <w:sz w:val="22"/>
                <w:szCs w:val="22"/>
                <w:lang w:val="en-ZA"/>
              </w:rPr>
              <w:t>IRBA</w:t>
            </w:r>
            <w:r w:rsidRPr="000C307C">
              <w:rPr>
                <w:rFonts w:ascii="Arial" w:hAnsi="Arial" w:cs="Arial"/>
                <w:sz w:val="22"/>
                <w:szCs w:val="22"/>
                <w:lang w:val="en-ZA"/>
              </w:rPr>
              <w:t xml:space="preserve"> on receipt of a reportable irregularity report made in terms of section 45</w:t>
            </w:r>
            <w:r>
              <w:rPr>
                <w:rFonts w:ascii="Arial" w:hAnsi="Arial" w:cs="Arial"/>
                <w:sz w:val="22"/>
                <w:szCs w:val="22"/>
                <w:lang w:val="en-ZA"/>
              </w:rPr>
              <w:t>.</w:t>
            </w:r>
          </w:p>
          <w:p w:rsidR="0051506B" w:rsidRDefault="0051506B" w:rsidP="0051506B">
            <w:pPr>
              <w:pStyle w:val="NormalWeb"/>
              <w:numPr>
                <w:ilvl w:val="0"/>
                <w:numId w:val="1"/>
              </w:numPr>
              <w:spacing w:before="120" w:beforeAutospacing="0"/>
              <w:jc w:val="both"/>
              <w:rPr>
                <w:rFonts w:ascii="Arial" w:hAnsi="Arial" w:cs="Arial"/>
                <w:sz w:val="22"/>
                <w:szCs w:val="22"/>
                <w:lang w:val="en-ZA"/>
              </w:rPr>
            </w:pPr>
            <w:r w:rsidRPr="000C307C">
              <w:rPr>
                <w:rFonts w:ascii="Arial" w:hAnsi="Arial" w:cs="Arial"/>
                <w:sz w:val="22"/>
                <w:szCs w:val="22"/>
                <w:lang w:val="en-ZA"/>
              </w:rPr>
              <w:t>Part 3: Deals with the impact of a section 45 reportable irregularity on the auditor’s report.</w:t>
            </w:r>
          </w:p>
          <w:p w:rsidR="0051506B" w:rsidRDefault="0051506B" w:rsidP="0051506B">
            <w:pPr>
              <w:pStyle w:val="NormalWeb"/>
              <w:numPr>
                <w:ilvl w:val="0"/>
                <w:numId w:val="1"/>
              </w:numPr>
              <w:spacing w:before="120" w:beforeAutospacing="0"/>
              <w:jc w:val="both"/>
              <w:rPr>
                <w:rFonts w:ascii="Arial" w:hAnsi="Arial" w:cs="Arial"/>
                <w:sz w:val="22"/>
                <w:szCs w:val="22"/>
                <w:lang w:val="en-ZA"/>
              </w:rPr>
            </w:pPr>
            <w:r w:rsidRPr="000C307C">
              <w:rPr>
                <w:rFonts w:ascii="Arial" w:hAnsi="Arial" w:cs="Arial"/>
                <w:sz w:val="22"/>
                <w:szCs w:val="22"/>
                <w:lang w:val="en-ZA"/>
              </w:rPr>
              <w:t>Part 4: Deals with professional responsibili</w:t>
            </w:r>
            <w:r>
              <w:rPr>
                <w:rFonts w:ascii="Arial" w:hAnsi="Arial" w:cs="Arial"/>
                <w:sz w:val="22"/>
                <w:szCs w:val="22"/>
                <w:lang w:val="en-ZA"/>
              </w:rPr>
              <w:t xml:space="preserve">ties, disciplinary measures, </w:t>
            </w:r>
            <w:r w:rsidRPr="000C307C">
              <w:rPr>
                <w:rFonts w:ascii="Arial" w:hAnsi="Arial" w:cs="Arial"/>
                <w:sz w:val="22"/>
                <w:szCs w:val="22"/>
                <w:lang w:val="en-ZA"/>
              </w:rPr>
              <w:t>other sanctions</w:t>
            </w:r>
            <w:r>
              <w:rPr>
                <w:rFonts w:ascii="Arial" w:hAnsi="Arial" w:cs="Arial"/>
                <w:sz w:val="22"/>
                <w:szCs w:val="22"/>
                <w:lang w:val="en-ZA"/>
              </w:rPr>
              <w:t xml:space="preserve"> and monitoring of compliance with section 45.</w:t>
            </w:r>
          </w:p>
          <w:p w:rsidR="0051506B" w:rsidRDefault="0051506B" w:rsidP="0051506B">
            <w:pPr>
              <w:pStyle w:val="NormalWeb"/>
              <w:numPr>
                <w:ilvl w:val="0"/>
                <w:numId w:val="1"/>
              </w:numPr>
              <w:spacing w:before="120" w:beforeAutospacing="0"/>
              <w:jc w:val="both"/>
              <w:rPr>
                <w:rFonts w:ascii="Arial" w:hAnsi="Arial" w:cs="Arial"/>
                <w:sz w:val="22"/>
                <w:szCs w:val="22"/>
                <w:lang w:val="en-ZA"/>
              </w:rPr>
            </w:pPr>
            <w:r w:rsidRPr="000C307C">
              <w:rPr>
                <w:rFonts w:ascii="Arial" w:hAnsi="Arial" w:cs="Arial"/>
                <w:sz w:val="22"/>
                <w:szCs w:val="22"/>
                <w:lang w:val="en-ZA"/>
              </w:rPr>
              <w:t>Appendices</w:t>
            </w:r>
            <w:r>
              <w:rPr>
                <w:rFonts w:ascii="Arial" w:hAnsi="Arial" w:cs="Arial"/>
                <w:sz w:val="22"/>
                <w:szCs w:val="22"/>
                <w:lang w:val="en-ZA"/>
              </w:rPr>
              <w:t xml:space="preserve"> provide:</w:t>
            </w:r>
          </w:p>
          <w:p w:rsidR="0051506B" w:rsidRDefault="0051506B" w:rsidP="0051506B">
            <w:pPr>
              <w:pStyle w:val="NormalWeb"/>
              <w:numPr>
                <w:ilvl w:val="1"/>
                <w:numId w:val="1"/>
              </w:numPr>
              <w:spacing w:before="120" w:beforeAutospacing="0"/>
              <w:jc w:val="both"/>
              <w:rPr>
                <w:rFonts w:ascii="Arial" w:hAnsi="Arial" w:cs="Arial"/>
                <w:sz w:val="22"/>
                <w:szCs w:val="22"/>
                <w:lang w:val="en-ZA"/>
              </w:rPr>
            </w:pPr>
            <w:r>
              <w:rPr>
                <w:rFonts w:ascii="Arial" w:hAnsi="Arial" w:cs="Arial"/>
                <w:sz w:val="22"/>
                <w:szCs w:val="22"/>
                <w:lang w:val="en-ZA"/>
              </w:rPr>
              <w:t>a d</w:t>
            </w:r>
            <w:r w:rsidRPr="000C307C">
              <w:rPr>
                <w:rFonts w:ascii="Arial" w:hAnsi="Arial" w:cs="Arial"/>
                <w:sz w:val="22"/>
                <w:szCs w:val="22"/>
                <w:lang w:val="en-ZA"/>
              </w:rPr>
              <w:t>iagrammatic presentation to determine whethe</w:t>
            </w:r>
            <w:r>
              <w:rPr>
                <w:rFonts w:ascii="Arial" w:hAnsi="Arial" w:cs="Arial"/>
                <w:sz w:val="22"/>
                <w:szCs w:val="22"/>
                <w:lang w:val="en-ZA"/>
              </w:rPr>
              <w:t>r an irregularity is reportable;</w:t>
            </w:r>
            <w:r w:rsidRPr="000C307C">
              <w:rPr>
                <w:rFonts w:ascii="Arial" w:hAnsi="Arial" w:cs="Arial"/>
                <w:sz w:val="22"/>
                <w:szCs w:val="22"/>
                <w:lang w:val="en-ZA"/>
              </w:rPr>
              <w:t xml:space="preserve"> </w:t>
            </w:r>
          </w:p>
          <w:p w:rsidR="0051506B" w:rsidRDefault="0051506B" w:rsidP="0051506B">
            <w:pPr>
              <w:pStyle w:val="NormalWeb"/>
              <w:numPr>
                <w:ilvl w:val="1"/>
                <w:numId w:val="1"/>
              </w:numPr>
              <w:spacing w:before="120" w:beforeAutospacing="0"/>
              <w:jc w:val="both"/>
              <w:rPr>
                <w:rFonts w:ascii="Arial" w:hAnsi="Arial" w:cs="Arial"/>
                <w:sz w:val="22"/>
                <w:szCs w:val="22"/>
                <w:lang w:val="en-ZA"/>
              </w:rPr>
            </w:pPr>
            <w:r>
              <w:rPr>
                <w:rFonts w:ascii="Arial" w:hAnsi="Arial" w:cs="Arial"/>
                <w:sz w:val="22"/>
                <w:szCs w:val="22"/>
                <w:lang w:val="en-ZA"/>
              </w:rPr>
              <w:t>a d</w:t>
            </w:r>
            <w:r w:rsidRPr="000C307C">
              <w:rPr>
                <w:rFonts w:ascii="Arial" w:hAnsi="Arial" w:cs="Arial"/>
                <w:sz w:val="22"/>
                <w:szCs w:val="22"/>
                <w:lang w:val="en-ZA"/>
              </w:rPr>
              <w:t>i</w:t>
            </w:r>
            <w:r>
              <w:rPr>
                <w:rFonts w:ascii="Arial" w:hAnsi="Arial" w:cs="Arial"/>
                <w:sz w:val="22"/>
                <w:szCs w:val="22"/>
                <w:lang w:val="en-ZA"/>
              </w:rPr>
              <w:t>agrammatic presentation of the p</w:t>
            </w:r>
            <w:r w:rsidRPr="000C307C">
              <w:rPr>
                <w:rFonts w:ascii="Arial" w:hAnsi="Arial" w:cs="Arial"/>
                <w:sz w:val="22"/>
                <w:szCs w:val="22"/>
                <w:lang w:val="en-ZA"/>
              </w:rPr>
              <w:t>roc</w:t>
            </w:r>
            <w:r>
              <w:rPr>
                <w:rFonts w:ascii="Arial" w:hAnsi="Arial" w:cs="Arial"/>
                <w:sz w:val="22"/>
                <w:szCs w:val="22"/>
                <w:lang w:val="en-ZA"/>
              </w:rPr>
              <w:t>ess for dealing with potential reportable i</w:t>
            </w:r>
            <w:r w:rsidRPr="000C307C">
              <w:rPr>
                <w:rFonts w:ascii="Arial" w:hAnsi="Arial" w:cs="Arial"/>
                <w:sz w:val="22"/>
                <w:szCs w:val="22"/>
                <w:lang w:val="en-ZA"/>
              </w:rPr>
              <w:t>rregularities</w:t>
            </w:r>
          </w:p>
          <w:p w:rsidR="0051506B" w:rsidRPr="000C307C" w:rsidRDefault="0051506B" w:rsidP="0051506B">
            <w:pPr>
              <w:pStyle w:val="NormalWeb"/>
              <w:numPr>
                <w:ilvl w:val="1"/>
                <w:numId w:val="1"/>
              </w:numPr>
              <w:spacing w:before="120" w:beforeAutospacing="0"/>
              <w:jc w:val="both"/>
              <w:rPr>
                <w:rFonts w:ascii="Arial" w:hAnsi="Arial" w:cs="Arial"/>
                <w:sz w:val="22"/>
                <w:szCs w:val="22"/>
                <w:lang w:val="en-ZA"/>
              </w:rPr>
            </w:pPr>
            <w:r>
              <w:rPr>
                <w:rFonts w:ascii="Arial" w:hAnsi="Arial" w:cs="Arial"/>
                <w:sz w:val="22"/>
                <w:szCs w:val="22"/>
                <w:lang w:val="en-ZA"/>
              </w:rPr>
              <w:t>illustrative reports;</w:t>
            </w:r>
            <w:r w:rsidRPr="000C307C">
              <w:rPr>
                <w:rFonts w:ascii="Arial" w:hAnsi="Arial" w:cs="Arial"/>
                <w:sz w:val="22"/>
                <w:szCs w:val="22"/>
                <w:lang w:val="en-ZA"/>
              </w:rPr>
              <w:t xml:space="preserve"> </w:t>
            </w:r>
            <w:r>
              <w:rPr>
                <w:rFonts w:ascii="Arial" w:hAnsi="Arial" w:cs="Arial"/>
                <w:sz w:val="22"/>
                <w:szCs w:val="22"/>
                <w:lang w:val="en-ZA"/>
              </w:rPr>
              <w:t>and</w:t>
            </w:r>
          </w:p>
          <w:p w:rsidR="0051506B" w:rsidRDefault="0051506B" w:rsidP="0051506B">
            <w:pPr>
              <w:pStyle w:val="NormalWeb"/>
              <w:numPr>
                <w:ilvl w:val="1"/>
                <w:numId w:val="1"/>
              </w:numPr>
              <w:spacing w:before="120" w:beforeAutospacing="0"/>
              <w:jc w:val="both"/>
              <w:rPr>
                <w:rFonts w:ascii="Arial" w:hAnsi="Arial" w:cs="Arial"/>
                <w:sz w:val="22"/>
                <w:szCs w:val="22"/>
                <w:lang w:val="en-ZA"/>
              </w:rPr>
            </w:pPr>
            <w:proofErr w:type="gramStart"/>
            <w:r w:rsidRPr="000C307C">
              <w:rPr>
                <w:rFonts w:ascii="Arial" w:hAnsi="Arial" w:cs="Arial"/>
                <w:sz w:val="22"/>
                <w:szCs w:val="22"/>
                <w:lang w:val="en-ZA"/>
              </w:rPr>
              <w:t>examples</w:t>
            </w:r>
            <w:proofErr w:type="gramEnd"/>
            <w:r w:rsidRPr="000C307C">
              <w:rPr>
                <w:rFonts w:ascii="Arial" w:hAnsi="Arial" w:cs="Arial"/>
                <w:sz w:val="22"/>
                <w:szCs w:val="22"/>
                <w:lang w:val="en-ZA"/>
              </w:rPr>
              <w:t xml:space="preserve"> which illustrate application of the guidance in determining the existence of a reportable irregularity</w:t>
            </w:r>
            <w:r>
              <w:rPr>
                <w:rFonts w:ascii="Arial" w:hAnsi="Arial" w:cs="Arial"/>
                <w:sz w:val="22"/>
                <w:szCs w:val="22"/>
                <w:lang w:val="en-ZA"/>
              </w:rPr>
              <w:t>.</w:t>
            </w:r>
          </w:p>
          <w:p w:rsidR="0051506B" w:rsidRPr="003D3E83" w:rsidRDefault="0051506B" w:rsidP="0051506B">
            <w:pPr>
              <w:pStyle w:val="NormalWeb"/>
              <w:spacing w:after="120"/>
              <w:jc w:val="both"/>
              <w:rPr>
                <w:rFonts w:ascii="Arial" w:hAnsi="Arial" w:cs="Arial"/>
                <w:b/>
                <w:sz w:val="22"/>
                <w:szCs w:val="22"/>
                <w:lang w:val="en-ZA"/>
              </w:rPr>
            </w:pPr>
            <w:r w:rsidRPr="003D3E83">
              <w:rPr>
                <w:rFonts w:ascii="Arial" w:hAnsi="Arial" w:cs="Arial"/>
                <w:b/>
                <w:sz w:val="22"/>
                <w:szCs w:val="22"/>
                <w:lang w:val="en-ZA"/>
              </w:rPr>
              <w:t>Effective date</w:t>
            </w:r>
          </w:p>
          <w:p w:rsidR="0051506B" w:rsidRDefault="0051506B" w:rsidP="0051506B">
            <w:pPr>
              <w:pStyle w:val="NormalWeb"/>
              <w:spacing w:after="120"/>
              <w:jc w:val="both"/>
              <w:rPr>
                <w:rFonts w:ascii="Arial" w:hAnsi="Arial" w:cs="Arial"/>
                <w:sz w:val="22"/>
                <w:szCs w:val="22"/>
                <w:lang w:val="en-ZA"/>
              </w:rPr>
            </w:pPr>
            <w:r>
              <w:rPr>
                <w:rFonts w:ascii="Arial" w:hAnsi="Arial" w:cs="Arial"/>
                <w:sz w:val="22"/>
                <w:szCs w:val="22"/>
                <w:lang w:val="en-ZA"/>
              </w:rPr>
              <w:t xml:space="preserve">The </w:t>
            </w:r>
            <w:r w:rsidRPr="003D3E83">
              <w:rPr>
                <w:rFonts w:ascii="Arial" w:hAnsi="Arial" w:cs="Arial"/>
                <w:sz w:val="22"/>
                <w:szCs w:val="22"/>
                <w:lang w:val="en-ZA"/>
              </w:rPr>
              <w:t>Guide is effect</w:t>
            </w:r>
            <w:r>
              <w:rPr>
                <w:rFonts w:ascii="Arial" w:hAnsi="Arial" w:cs="Arial"/>
                <w:sz w:val="22"/>
                <w:szCs w:val="22"/>
                <w:lang w:val="en-ZA"/>
              </w:rPr>
              <w:t>ive from 1 July 2015.</w:t>
            </w:r>
            <w:r w:rsidRPr="003D3E83">
              <w:rPr>
                <w:rFonts w:ascii="Arial" w:hAnsi="Arial" w:cs="Arial"/>
                <w:sz w:val="22"/>
                <w:szCs w:val="22"/>
                <w:lang w:val="en-ZA"/>
              </w:rPr>
              <w:t xml:space="preserve"> </w:t>
            </w:r>
          </w:p>
          <w:p w:rsidR="0051506B" w:rsidRDefault="0051506B" w:rsidP="0051506B">
            <w:pPr>
              <w:pStyle w:val="NormalWeb"/>
              <w:spacing w:after="120"/>
              <w:jc w:val="both"/>
              <w:rPr>
                <w:rStyle w:val="Hyperlink"/>
                <w:rFonts w:ascii="Arial" w:hAnsi="Arial" w:cs="Arial"/>
                <w:sz w:val="22"/>
                <w:szCs w:val="22"/>
                <w:u w:val="none"/>
              </w:rPr>
            </w:pPr>
            <w:r>
              <w:rPr>
                <w:rFonts w:ascii="Arial" w:hAnsi="Arial" w:cs="Arial"/>
                <w:sz w:val="22"/>
                <w:szCs w:val="22"/>
                <w:lang w:val="en-ZA"/>
              </w:rPr>
              <w:lastRenderedPageBreak/>
              <w:t>The</w:t>
            </w:r>
            <w:r w:rsidRPr="00464CD9">
              <w:rPr>
                <w:rFonts w:ascii="Arial" w:hAnsi="Arial" w:cs="Arial"/>
                <w:sz w:val="22"/>
                <w:szCs w:val="22"/>
                <w:lang w:val="en-ZA"/>
              </w:rPr>
              <w:t xml:space="preserve"> </w:t>
            </w:r>
            <w:r>
              <w:rPr>
                <w:rFonts w:ascii="Arial" w:hAnsi="Arial" w:cs="Arial"/>
                <w:sz w:val="22"/>
                <w:szCs w:val="22"/>
                <w:lang w:val="en-ZA"/>
              </w:rPr>
              <w:t>Guide</w:t>
            </w:r>
            <w:r w:rsidRPr="00F76271">
              <w:rPr>
                <w:rFonts w:ascii="Arial" w:hAnsi="Arial" w:cs="Arial"/>
                <w:sz w:val="22"/>
                <w:szCs w:val="22"/>
              </w:rPr>
              <w:t xml:space="preserve"> may be down</w:t>
            </w:r>
            <w:r>
              <w:rPr>
                <w:rFonts w:ascii="Arial" w:hAnsi="Arial" w:cs="Arial"/>
                <w:sz w:val="22"/>
                <w:szCs w:val="22"/>
              </w:rPr>
              <w:t xml:space="preserve">loaded from the IRBA </w:t>
            </w:r>
            <w:hyperlink r:id="rId5" w:history="1">
              <w:r w:rsidRPr="0013199C">
                <w:rPr>
                  <w:rStyle w:val="Hyperlink"/>
                  <w:rFonts w:ascii="Arial" w:hAnsi="Arial" w:cs="Arial"/>
                  <w:sz w:val="22"/>
                  <w:szCs w:val="22"/>
                </w:rPr>
                <w:t>we</w:t>
              </w:r>
              <w:r w:rsidRPr="0013199C">
                <w:rPr>
                  <w:rStyle w:val="Hyperlink"/>
                  <w:rFonts w:ascii="Arial" w:hAnsi="Arial" w:cs="Arial"/>
                  <w:sz w:val="22"/>
                  <w:szCs w:val="22"/>
                </w:rPr>
                <w:t>b</w:t>
              </w:r>
              <w:r w:rsidRPr="0013199C">
                <w:rPr>
                  <w:rStyle w:val="Hyperlink"/>
                  <w:rFonts w:ascii="Arial" w:hAnsi="Arial" w:cs="Arial"/>
                  <w:sz w:val="22"/>
                  <w:szCs w:val="22"/>
                </w:rPr>
                <w:t>site</w:t>
              </w:r>
            </w:hyperlink>
            <w:r w:rsidR="0013199C">
              <w:rPr>
                <w:rFonts w:ascii="Arial" w:hAnsi="Arial" w:cs="Arial"/>
                <w:sz w:val="22"/>
                <w:szCs w:val="22"/>
              </w:rPr>
              <w:t>.</w:t>
            </w:r>
          </w:p>
          <w:p w:rsidR="0051506B" w:rsidRPr="003D3E83" w:rsidRDefault="0051506B" w:rsidP="0051506B">
            <w:pPr>
              <w:pStyle w:val="NormalWeb"/>
              <w:spacing w:after="120"/>
              <w:jc w:val="both"/>
              <w:rPr>
                <w:rFonts w:ascii="Arial" w:hAnsi="Arial" w:cs="Arial"/>
                <w:sz w:val="22"/>
                <w:szCs w:val="22"/>
                <w:lang w:val="en-ZA"/>
              </w:rPr>
            </w:pPr>
            <w:r w:rsidRPr="00F76271">
              <w:rPr>
                <w:rFonts w:ascii="Arial" w:hAnsi="Arial" w:cs="Arial"/>
                <w:sz w:val="22"/>
                <w:szCs w:val="22"/>
              </w:rPr>
              <w:t xml:space="preserve">Should you have any further queries please contact the Standards Department </w:t>
            </w:r>
            <w:r>
              <w:rPr>
                <w:rFonts w:ascii="Arial" w:hAnsi="Arial" w:cs="Arial"/>
                <w:sz w:val="22"/>
                <w:szCs w:val="22"/>
              </w:rPr>
              <w:t>by</w:t>
            </w:r>
            <w:r w:rsidRPr="00F76271">
              <w:rPr>
                <w:rFonts w:ascii="Arial" w:hAnsi="Arial" w:cs="Arial"/>
                <w:sz w:val="22"/>
                <w:szCs w:val="22"/>
              </w:rPr>
              <w:t xml:space="preserve"> email</w:t>
            </w:r>
            <w:r>
              <w:rPr>
                <w:rFonts w:ascii="Arial" w:hAnsi="Arial" w:cs="Arial"/>
                <w:sz w:val="22"/>
                <w:szCs w:val="22"/>
              </w:rPr>
              <w:t xml:space="preserve">: </w:t>
            </w:r>
            <w:hyperlink r:id="rId6" w:history="1">
              <w:r w:rsidRPr="00F76271">
                <w:rPr>
                  <w:rFonts w:ascii="Arial" w:hAnsi="Arial" w:cs="Arial"/>
                  <w:color w:val="3300CC"/>
                  <w:sz w:val="22"/>
                  <w:szCs w:val="22"/>
                  <w:u w:val="single"/>
                </w:rPr>
                <w:t>standards@irba.co.za</w:t>
              </w:r>
            </w:hyperlink>
            <w:r w:rsidRPr="00F76271">
              <w:rPr>
                <w:rFonts w:ascii="Arial" w:hAnsi="Arial" w:cs="Arial"/>
                <w:sz w:val="22"/>
                <w:szCs w:val="22"/>
              </w:rPr>
              <w:t>.</w:t>
            </w:r>
          </w:p>
          <w:p w:rsidR="0051506B" w:rsidRDefault="0051506B" w:rsidP="0051506B">
            <w:pPr>
              <w:jc w:val="both"/>
              <w:textAlignment w:val="top"/>
              <w:rPr>
                <w:rFonts w:ascii="Arial" w:hAnsi="Arial" w:cs="Arial"/>
                <w:b/>
                <w:sz w:val="22"/>
                <w:szCs w:val="22"/>
                <w:lang w:val="en-GB"/>
              </w:rPr>
            </w:pPr>
          </w:p>
          <w:p w:rsidR="0051506B" w:rsidRDefault="0051506B" w:rsidP="0051506B">
            <w:pPr>
              <w:jc w:val="both"/>
              <w:textAlignment w:val="top"/>
              <w:rPr>
                <w:rFonts w:ascii="Arial" w:hAnsi="Arial" w:cs="Arial"/>
                <w:b/>
                <w:sz w:val="22"/>
                <w:szCs w:val="22"/>
                <w:lang w:val="en-GB"/>
              </w:rPr>
            </w:pPr>
          </w:p>
          <w:p w:rsidR="0051506B" w:rsidRPr="00F76271" w:rsidRDefault="0051506B" w:rsidP="0051506B">
            <w:pPr>
              <w:jc w:val="both"/>
              <w:textAlignment w:val="top"/>
              <w:rPr>
                <w:rFonts w:ascii="Arial" w:hAnsi="Arial" w:cs="Arial"/>
                <w:b/>
                <w:sz w:val="22"/>
                <w:szCs w:val="22"/>
                <w:lang w:val="en-GB"/>
              </w:rPr>
            </w:pPr>
            <w:bookmarkStart w:id="0" w:name="_GoBack"/>
            <w:bookmarkEnd w:id="0"/>
          </w:p>
          <w:p w:rsidR="0051506B" w:rsidRPr="00F76271" w:rsidRDefault="0051506B" w:rsidP="0051506B">
            <w:pPr>
              <w:jc w:val="both"/>
              <w:textAlignment w:val="top"/>
              <w:rPr>
                <w:rFonts w:ascii="Arial" w:hAnsi="Arial" w:cs="Arial"/>
                <w:b/>
                <w:sz w:val="22"/>
                <w:szCs w:val="22"/>
                <w:lang w:val="en-GB"/>
              </w:rPr>
            </w:pPr>
          </w:p>
          <w:p w:rsidR="0051506B" w:rsidRPr="003F7732" w:rsidRDefault="0051506B" w:rsidP="0051506B">
            <w:pPr>
              <w:jc w:val="both"/>
              <w:rPr>
                <w:rFonts w:ascii="Arial" w:hAnsi="Arial" w:cs="Arial"/>
                <w:b/>
                <w:sz w:val="22"/>
                <w:szCs w:val="22"/>
                <w:lang w:val="en-GB"/>
              </w:rPr>
            </w:pPr>
            <w:r w:rsidRPr="003F7732">
              <w:rPr>
                <w:rFonts w:ascii="Arial" w:hAnsi="Arial" w:cs="Arial"/>
                <w:b/>
                <w:sz w:val="22"/>
                <w:szCs w:val="22"/>
                <w:lang w:val="en-GB"/>
              </w:rPr>
              <w:t>Bernard P</w:t>
            </w:r>
            <w:r w:rsidR="000C0201">
              <w:rPr>
                <w:rFonts w:ascii="Arial" w:hAnsi="Arial" w:cs="Arial"/>
                <w:b/>
                <w:sz w:val="22"/>
                <w:szCs w:val="22"/>
                <w:lang w:val="en-GB"/>
              </w:rPr>
              <w:t>eter</w:t>
            </w:r>
            <w:r w:rsidRPr="003F7732">
              <w:rPr>
                <w:rFonts w:ascii="Arial" w:hAnsi="Arial" w:cs="Arial"/>
                <w:b/>
                <w:sz w:val="22"/>
                <w:szCs w:val="22"/>
                <w:lang w:val="en-GB"/>
              </w:rPr>
              <w:t xml:space="preserve"> Agulhas</w:t>
            </w:r>
          </w:p>
          <w:p w:rsidR="0051506B" w:rsidRPr="003F7732" w:rsidRDefault="0051506B" w:rsidP="0051506B">
            <w:pPr>
              <w:spacing w:after="120"/>
              <w:jc w:val="both"/>
              <w:rPr>
                <w:rFonts w:ascii="Arial" w:hAnsi="Arial" w:cs="Arial"/>
                <w:b/>
                <w:sz w:val="22"/>
                <w:szCs w:val="22"/>
                <w:lang w:val="en-GB"/>
              </w:rPr>
            </w:pPr>
            <w:r w:rsidRPr="003F7732">
              <w:rPr>
                <w:rFonts w:ascii="Arial" w:hAnsi="Arial" w:cs="Arial"/>
                <w:b/>
                <w:sz w:val="22"/>
                <w:szCs w:val="22"/>
                <w:lang w:val="en-GB"/>
              </w:rPr>
              <w:t>Chief Executive Officer</w:t>
            </w:r>
          </w:p>
          <w:p w:rsidR="0051506B" w:rsidRPr="00F76271" w:rsidRDefault="0051506B" w:rsidP="0051506B">
            <w:pPr>
              <w:spacing w:after="120"/>
              <w:jc w:val="both"/>
              <w:rPr>
                <w:rFonts w:ascii="Arial" w:hAnsi="Arial" w:cs="Arial"/>
                <w:b/>
                <w:i/>
                <w:noProof/>
                <w:sz w:val="20"/>
                <w:szCs w:val="20"/>
                <w:lang w:val="en-GB"/>
              </w:rPr>
            </w:pPr>
          </w:p>
          <w:p w:rsidR="0051506B" w:rsidRPr="003F3563" w:rsidRDefault="0051506B" w:rsidP="0051506B">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rsidR="0051506B" w:rsidRPr="003F3563" w:rsidRDefault="0051506B" w:rsidP="0051506B">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51506B" w:rsidRDefault="0051506B">
            <w:pPr>
              <w:rPr>
                <w:rFonts w:ascii="Arial" w:hAnsi="Arial" w:cs="Arial"/>
              </w:rPr>
            </w:pPr>
          </w:p>
          <w:p w:rsidR="0051506B" w:rsidRDefault="0051506B">
            <w:pPr>
              <w:rPr>
                <w:rFonts w:ascii="Arial" w:hAnsi="Arial" w:cs="Arial"/>
              </w:rPr>
            </w:pPr>
          </w:p>
        </w:tc>
      </w:tr>
    </w:tbl>
    <w:p w:rsidR="00A626DA" w:rsidRPr="00F76271" w:rsidRDefault="00A626DA">
      <w:pPr>
        <w:rPr>
          <w:rFonts w:ascii="Arial" w:hAnsi="Arial" w:cs="Arial"/>
        </w:rPr>
      </w:pPr>
    </w:p>
    <w:sectPr w:rsidR="00A626DA"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36F16"/>
    <w:multiLevelType w:val="hybridMultilevel"/>
    <w:tmpl w:val="DFC05532"/>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016AD2"/>
    <w:rsid w:val="00090F4E"/>
    <w:rsid w:val="000C0201"/>
    <w:rsid w:val="000C307C"/>
    <w:rsid w:val="00110619"/>
    <w:rsid w:val="0013199C"/>
    <w:rsid w:val="00147D13"/>
    <w:rsid w:val="00185BF9"/>
    <w:rsid w:val="001C5539"/>
    <w:rsid w:val="00287884"/>
    <w:rsid w:val="00293F92"/>
    <w:rsid w:val="002F341A"/>
    <w:rsid w:val="003A2F4D"/>
    <w:rsid w:val="003D3E83"/>
    <w:rsid w:val="003E15C6"/>
    <w:rsid w:val="003F3563"/>
    <w:rsid w:val="003F7732"/>
    <w:rsid w:val="00441B92"/>
    <w:rsid w:val="00454F23"/>
    <w:rsid w:val="00464CD9"/>
    <w:rsid w:val="004A18F2"/>
    <w:rsid w:val="005045CC"/>
    <w:rsid w:val="0051506B"/>
    <w:rsid w:val="00524F5C"/>
    <w:rsid w:val="005770D3"/>
    <w:rsid w:val="005B287F"/>
    <w:rsid w:val="006A2A11"/>
    <w:rsid w:val="006A78E9"/>
    <w:rsid w:val="00700396"/>
    <w:rsid w:val="00712691"/>
    <w:rsid w:val="00780F14"/>
    <w:rsid w:val="00794A42"/>
    <w:rsid w:val="00807419"/>
    <w:rsid w:val="00815470"/>
    <w:rsid w:val="008178F4"/>
    <w:rsid w:val="008759FF"/>
    <w:rsid w:val="008C3A32"/>
    <w:rsid w:val="00916317"/>
    <w:rsid w:val="009413CF"/>
    <w:rsid w:val="009640B4"/>
    <w:rsid w:val="00981C35"/>
    <w:rsid w:val="00A23544"/>
    <w:rsid w:val="00A40451"/>
    <w:rsid w:val="00A626DA"/>
    <w:rsid w:val="00B42EA4"/>
    <w:rsid w:val="00BD0746"/>
    <w:rsid w:val="00C81615"/>
    <w:rsid w:val="00C919FF"/>
    <w:rsid w:val="00CB5991"/>
    <w:rsid w:val="00D3035E"/>
    <w:rsid w:val="00D308A9"/>
    <w:rsid w:val="00D6700B"/>
    <w:rsid w:val="00D9728A"/>
    <w:rsid w:val="00DB0607"/>
    <w:rsid w:val="00E44044"/>
    <w:rsid w:val="00E976D8"/>
    <w:rsid w:val="00EC5A50"/>
    <w:rsid w:val="00EF636B"/>
    <w:rsid w:val="00F111F4"/>
    <w:rsid w:val="00F57F26"/>
    <w:rsid w:val="00F76271"/>
    <w:rsid w:val="00FC218B"/>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3AF083-B554-458A-9C04-6916EF11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BalloonText">
    <w:name w:val="Balloon Text"/>
    <w:basedOn w:val="Normal"/>
    <w:link w:val="BalloonTextChar"/>
    <w:uiPriority w:val="99"/>
    <w:semiHidden/>
    <w:unhideWhenUsed/>
    <w:rsid w:val="00464CD9"/>
    <w:rPr>
      <w:rFonts w:ascii="Tahoma" w:eastAsiaTheme="minorHAnsi" w:hAnsi="Tahoma" w:cs="Tahoma"/>
      <w:sz w:val="16"/>
      <w:szCs w:val="16"/>
      <w:lang w:val="en-ZA"/>
    </w:rPr>
  </w:style>
  <w:style w:type="character" w:customStyle="1" w:styleId="BalloonTextChar">
    <w:name w:val="Balloon Text Char"/>
    <w:basedOn w:val="DefaultParagraphFont"/>
    <w:link w:val="BalloonText"/>
    <w:uiPriority w:val="99"/>
    <w:semiHidden/>
    <w:rsid w:val="00464CD9"/>
    <w:rPr>
      <w:rFonts w:ascii="Tahoma" w:hAnsi="Tahoma" w:cs="Tahoma"/>
      <w:sz w:val="16"/>
      <w:szCs w:val="16"/>
    </w:rPr>
  </w:style>
  <w:style w:type="character" w:customStyle="1" w:styleId="apple-converted-space">
    <w:name w:val="apple-converted-space"/>
    <w:basedOn w:val="DefaultParagraphFont"/>
    <w:rsid w:val="00524F5C"/>
  </w:style>
  <w:style w:type="character" w:styleId="Strong">
    <w:name w:val="Strong"/>
    <w:basedOn w:val="DefaultParagraphFont"/>
    <w:uiPriority w:val="22"/>
    <w:qFormat/>
    <w:rsid w:val="00524F5C"/>
    <w:rPr>
      <w:b/>
      <w:bCs/>
    </w:rPr>
  </w:style>
  <w:style w:type="character" w:styleId="CommentReference">
    <w:name w:val="annotation reference"/>
    <w:basedOn w:val="DefaultParagraphFont"/>
    <w:uiPriority w:val="99"/>
    <w:semiHidden/>
    <w:unhideWhenUsed/>
    <w:rsid w:val="00780F14"/>
    <w:rPr>
      <w:sz w:val="16"/>
      <w:szCs w:val="16"/>
    </w:rPr>
  </w:style>
  <w:style w:type="paragraph" w:styleId="CommentText">
    <w:name w:val="annotation text"/>
    <w:basedOn w:val="Normal"/>
    <w:link w:val="CommentTextChar"/>
    <w:uiPriority w:val="99"/>
    <w:semiHidden/>
    <w:unhideWhenUsed/>
    <w:rsid w:val="00780F14"/>
    <w:rPr>
      <w:sz w:val="20"/>
      <w:szCs w:val="20"/>
    </w:rPr>
  </w:style>
  <w:style w:type="character" w:customStyle="1" w:styleId="CommentTextChar">
    <w:name w:val="Comment Text Char"/>
    <w:basedOn w:val="DefaultParagraphFont"/>
    <w:link w:val="CommentText"/>
    <w:uiPriority w:val="99"/>
    <w:semiHidden/>
    <w:rsid w:val="00780F1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80F14"/>
    <w:rPr>
      <w:b/>
      <w:bCs/>
    </w:rPr>
  </w:style>
  <w:style w:type="character" w:customStyle="1" w:styleId="CommentSubjectChar">
    <w:name w:val="Comment Subject Char"/>
    <w:basedOn w:val="CommentTextChar"/>
    <w:link w:val="CommentSubject"/>
    <w:uiPriority w:val="99"/>
    <w:semiHidden/>
    <w:rsid w:val="00780F14"/>
    <w:rPr>
      <w:rFonts w:ascii="Times New Roman" w:eastAsia="Times New Roman" w:hAnsi="Times New Roman" w:cs="Times New Roman"/>
      <w:b/>
      <w:bCs/>
      <w:sz w:val="20"/>
      <w:szCs w:val="20"/>
      <w:lang w:val="en-US"/>
    </w:rPr>
  </w:style>
  <w:style w:type="paragraph" w:styleId="Revision">
    <w:name w:val="Revision"/>
    <w:hidden/>
    <w:uiPriority w:val="99"/>
    <w:semiHidden/>
    <w:rsid w:val="00E44044"/>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5150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42E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79806989">
      <w:bodyDiv w:val="1"/>
      <w:marLeft w:val="0"/>
      <w:marRight w:val="0"/>
      <w:marTop w:val="0"/>
      <w:marBottom w:val="0"/>
      <w:divBdr>
        <w:top w:val="none" w:sz="0" w:space="0" w:color="auto"/>
        <w:left w:val="none" w:sz="0" w:space="0" w:color="auto"/>
        <w:bottom w:val="none" w:sz="0" w:space="0" w:color="auto"/>
        <w:right w:val="none" w:sz="0" w:space="0" w:color="auto"/>
      </w:divBdr>
    </w:div>
    <w:div w:id="1630352588">
      <w:bodyDiv w:val="1"/>
      <w:marLeft w:val="0"/>
      <w:marRight w:val="0"/>
      <w:marTop w:val="0"/>
      <w:marBottom w:val="0"/>
      <w:divBdr>
        <w:top w:val="none" w:sz="0" w:space="0" w:color="auto"/>
        <w:left w:val="none" w:sz="0" w:space="0" w:color="auto"/>
        <w:bottom w:val="none" w:sz="0" w:space="0" w:color="auto"/>
        <w:right w:val="none" w:sz="0" w:space="0" w:color="auto"/>
      </w:divBdr>
      <w:divsChild>
        <w:div w:id="1168256422">
          <w:marLeft w:val="0"/>
          <w:marRight w:val="0"/>
          <w:marTop w:val="0"/>
          <w:marBottom w:val="0"/>
          <w:divBdr>
            <w:top w:val="none" w:sz="0" w:space="0" w:color="auto"/>
            <w:left w:val="none" w:sz="0" w:space="0" w:color="auto"/>
            <w:bottom w:val="none" w:sz="0" w:space="0" w:color="auto"/>
            <w:right w:val="none" w:sz="0" w:space="0" w:color="auto"/>
          </w:divBdr>
          <w:divsChild>
            <w:div w:id="1693263706">
              <w:marLeft w:val="0"/>
              <w:marRight w:val="-95"/>
              <w:marTop w:val="0"/>
              <w:marBottom w:val="0"/>
              <w:divBdr>
                <w:top w:val="none" w:sz="0" w:space="0" w:color="auto"/>
                <w:left w:val="none" w:sz="0" w:space="0" w:color="auto"/>
                <w:bottom w:val="none" w:sz="0" w:space="0" w:color="auto"/>
                <w:right w:val="none" w:sz="0" w:space="0" w:color="auto"/>
              </w:divBdr>
              <w:divsChild>
                <w:div w:id="905148654">
                  <w:marLeft w:val="3270"/>
                  <w:marRight w:val="270"/>
                  <w:marTop w:val="0"/>
                  <w:marBottom w:val="0"/>
                  <w:divBdr>
                    <w:top w:val="none" w:sz="0" w:space="0" w:color="auto"/>
                    <w:left w:val="none" w:sz="0" w:space="0" w:color="auto"/>
                    <w:bottom w:val="none" w:sz="0" w:space="0" w:color="auto"/>
                    <w:right w:val="none" w:sz="0" w:space="0" w:color="auto"/>
                  </w:divBdr>
                  <w:divsChild>
                    <w:div w:id="18470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6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ards@irba.co.za" TargetMode="External"/><Relationship Id="rId5" Type="http://schemas.openxmlformats.org/officeDocument/2006/relationships/hyperlink" Target="http://www.irba.co.za/guidance-to-ras/reportable-irregulari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17</cp:revision>
  <cp:lastPrinted>2015-06-23T07:44:00Z</cp:lastPrinted>
  <dcterms:created xsi:type="dcterms:W3CDTF">2015-06-23T13:15:00Z</dcterms:created>
  <dcterms:modified xsi:type="dcterms:W3CDTF">2016-06-23T10:03:00Z</dcterms:modified>
</cp:coreProperties>
</file>