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6"/>
      </w:tblGrid>
      <w:tr w:rsidR="00D063C9" w14:paraId="69A9421F" w14:textId="77777777" w:rsidTr="00D063C9">
        <w:tc>
          <w:tcPr>
            <w:tcW w:w="9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43D1D" w14:textId="743156CA" w:rsidR="00D063C9" w:rsidRPr="00183F40" w:rsidRDefault="00D063C9" w:rsidP="00183F40">
            <w:pP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r w:rsidRPr="00F76271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</w:tc>
      </w:tr>
    </w:tbl>
    <w:p w14:paraId="677F30B3" w14:textId="77777777" w:rsidR="00F76271" w:rsidRDefault="00F7627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6"/>
      </w:tblGrid>
      <w:tr w:rsidR="00D063C9" w14:paraId="18BBB9EF" w14:textId="77777777" w:rsidTr="00D063C9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14:paraId="05B8CA9E" w14:textId="76F0CF5D" w:rsidR="00D063C9" w:rsidRDefault="00183F40" w:rsidP="00183F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lang w:val="en-ZA"/>
              </w:rPr>
            </w:pPr>
            <w:r w:rsidRPr="00183F40">
              <w:rPr>
                <w:rFonts w:ascii="Arial" w:eastAsiaTheme="minorHAnsi" w:hAnsi="Arial" w:cs="Arial"/>
                <w:b/>
                <w:lang w:val="en-ZA"/>
              </w:rPr>
              <w:t>Guidance on the illustrative engagement letter for a sustainability assurance engagement, and the</w:t>
            </w:r>
            <w:r w:rsidRPr="00183F40">
              <w:rPr>
                <w:rFonts w:ascii="Arial" w:eastAsiaTheme="minorHAnsi" w:hAnsi="Arial" w:cs="Arial"/>
                <w:b/>
                <w:lang w:val="en-ZA"/>
              </w:rPr>
              <w:t xml:space="preserve"> </w:t>
            </w:r>
            <w:r w:rsidRPr="00183F40">
              <w:rPr>
                <w:rFonts w:ascii="Arial" w:eastAsiaTheme="minorHAnsi" w:hAnsi="Arial" w:cs="Arial"/>
                <w:b/>
                <w:lang w:val="en-ZA"/>
              </w:rPr>
              <w:t>related illustrative assurance</w:t>
            </w:r>
          </w:p>
          <w:p w14:paraId="1E19886A" w14:textId="77777777" w:rsidR="00183F40" w:rsidRPr="00183F40" w:rsidRDefault="00183F40" w:rsidP="00183F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</w:p>
          <w:p w14:paraId="1D41C4C0" w14:textId="4524568F" w:rsidR="00D063C9" w:rsidRPr="00F76271" w:rsidRDefault="00D063C9" w:rsidP="00D063C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Johannesburg / </w:t>
            </w:r>
            <w:r w:rsidR="00183F40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7 </w:t>
            </w:r>
            <w:r w:rsidR="00183F40">
              <w:rPr>
                <w:rFonts w:ascii="Arial" w:hAnsi="Arial" w:cs="Arial"/>
                <w:sz w:val="22"/>
                <w:szCs w:val="22"/>
                <w:lang w:val="en-GB"/>
              </w:rPr>
              <w:t>April 2014</w:t>
            </w:r>
          </w:p>
          <w:p w14:paraId="65564603" w14:textId="77777777" w:rsidR="00D063C9" w:rsidRDefault="00D063C9" w:rsidP="00D063C9"/>
          <w:p w14:paraId="0C729489" w14:textId="0B4CB79F" w:rsidR="00183F40" w:rsidRPr="00183F40" w:rsidRDefault="00183F40" w:rsidP="00183F4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 w:cs="Arial"/>
                <w:color w:val="000000"/>
              </w:rPr>
            </w:pPr>
            <w:r w:rsidRPr="00183F40">
              <w:rPr>
                <w:rFonts w:eastAsiaTheme="minorHAnsi" w:cs="Arial"/>
                <w:color w:val="000000"/>
              </w:rPr>
              <w:t>Illustrative Engagement Letter for the Assurance Engagement (</w:t>
            </w:r>
            <w:hyperlink r:id="rId6" w:history="1">
              <w:r w:rsidRPr="00C46BE2">
                <w:rPr>
                  <w:rStyle w:val="Hyperlink"/>
                  <w:rFonts w:eastAsiaTheme="minorHAnsi" w:cs="Arial"/>
                </w:rPr>
                <w:t>DO</w:t>
              </w:r>
              <w:r w:rsidRPr="00C46BE2">
                <w:rPr>
                  <w:rStyle w:val="Hyperlink"/>
                  <w:rFonts w:eastAsiaTheme="minorHAnsi" w:cs="Arial"/>
                </w:rPr>
                <w:t>C</w:t>
              </w:r>
            </w:hyperlink>
            <w:r w:rsidRPr="00183F40">
              <w:rPr>
                <w:rFonts w:eastAsiaTheme="minorHAnsi" w:cs="Arial"/>
                <w:color w:val="0000EF"/>
              </w:rPr>
              <w:t xml:space="preserve"> </w:t>
            </w:r>
            <w:r w:rsidRPr="00183F40">
              <w:rPr>
                <w:rFonts w:eastAsiaTheme="minorHAnsi" w:cs="Arial"/>
                <w:color w:val="000000"/>
              </w:rPr>
              <w:t xml:space="preserve">| </w:t>
            </w:r>
            <w:hyperlink r:id="rId7" w:history="1">
              <w:r w:rsidRPr="00C46BE2">
                <w:rPr>
                  <w:rStyle w:val="Hyperlink"/>
                  <w:rFonts w:eastAsiaTheme="minorHAnsi" w:cs="Arial"/>
                </w:rPr>
                <w:t>PD</w:t>
              </w:r>
              <w:r w:rsidRPr="00C46BE2">
                <w:rPr>
                  <w:rStyle w:val="Hyperlink"/>
                  <w:rFonts w:eastAsiaTheme="minorHAnsi" w:cs="Arial"/>
                </w:rPr>
                <w:t>F</w:t>
              </w:r>
            </w:hyperlink>
            <w:r w:rsidRPr="00183F40">
              <w:rPr>
                <w:rFonts w:eastAsiaTheme="minorHAnsi" w:cs="Arial"/>
                <w:color w:val="000000"/>
              </w:rPr>
              <w:t>)</w:t>
            </w:r>
          </w:p>
          <w:p w14:paraId="2D58CEBE" w14:textId="1576EDB1" w:rsidR="00D063C9" w:rsidRPr="00183F40" w:rsidRDefault="00183F40" w:rsidP="00183F40">
            <w:pPr>
              <w:pStyle w:val="ListParagraph"/>
              <w:numPr>
                <w:ilvl w:val="0"/>
                <w:numId w:val="5"/>
              </w:numPr>
              <w:rPr>
                <w:rFonts w:eastAsiaTheme="minorHAnsi" w:cs="Arial"/>
                <w:color w:val="000000"/>
              </w:rPr>
            </w:pPr>
            <w:r w:rsidRPr="00183F40">
              <w:rPr>
                <w:rFonts w:eastAsiaTheme="minorHAnsi" w:cs="Arial"/>
                <w:color w:val="000000"/>
              </w:rPr>
              <w:t>Illustrative Assurance Report (</w:t>
            </w:r>
            <w:hyperlink r:id="rId8" w:history="1">
              <w:r w:rsidRPr="00C46BE2">
                <w:rPr>
                  <w:rStyle w:val="Hyperlink"/>
                  <w:rFonts w:eastAsiaTheme="minorHAnsi" w:cs="Arial"/>
                </w:rPr>
                <w:t>DO</w:t>
              </w:r>
              <w:r w:rsidRPr="00C46BE2">
                <w:rPr>
                  <w:rStyle w:val="Hyperlink"/>
                  <w:rFonts w:eastAsiaTheme="minorHAnsi" w:cs="Arial"/>
                </w:rPr>
                <w:t>C</w:t>
              </w:r>
            </w:hyperlink>
            <w:r w:rsidRPr="00183F40">
              <w:rPr>
                <w:rFonts w:eastAsiaTheme="minorHAnsi" w:cs="Arial"/>
                <w:color w:val="0000EF"/>
              </w:rPr>
              <w:t xml:space="preserve"> </w:t>
            </w:r>
            <w:r w:rsidRPr="00183F40">
              <w:rPr>
                <w:rFonts w:eastAsiaTheme="minorHAnsi" w:cs="Arial"/>
                <w:color w:val="000000"/>
              </w:rPr>
              <w:t xml:space="preserve">| </w:t>
            </w:r>
            <w:hyperlink r:id="rId9" w:history="1">
              <w:r w:rsidRPr="00C46BE2">
                <w:rPr>
                  <w:rStyle w:val="Hyperlink"/>
                  <w:rFonts w:eastAsiaTheme="minorHAnsi" w:cs="Arial"/>
                </w:rPr>
                <w:t>P</w:t>
              </w:r>
              <w:r w:rsidRPr="00C46BE2">
                <w:rPr>
                  <w:rStyle w:val="Hyperlink"/>
                  <w:rFonts w:eastAsiaTheme="minorHAnsi" w:cs="Arial"/>
                </w:rPr>
                <w:t>D</w:t>
              </w:r>
              <w:r w:rsidRPr="00C46BE2">
                <w:rPr>
                  <w:rStyle w:val="Hyperlink"/>
                  <w:rFonts w:eastAsiaTheme="minorHAnsi" w:cs="Arial"/>
                </w:rPr>
                <w:t>F</w:t>
              </w:r>
            </w:hyperlink>
            <w:r w:rsidRPr="00183F40">
              <w:rPr>
                <w:rFonts w:eastAsiaTheme="minorHAnsi" w:cs="Arial"/>
                <w:color w:val="000000"/>
              </w:rPr>
              <w:t>)</w:t>
            </w:r>
          </w:p>
          <w:p w14:paraId="43001A1A" w14:textId="77777777" w:rsidR="00183F40" w:rsidRDefault="00183F40" w:rsidP="00183F40">
            <w:pPr>
              <w:rPr>
                <w:rFonts w:ascii="Arial" w:eastAsiaTheme="minorHAnsi" w:hAnsi="Arial" w:cs="Arial"/>
                <w:color w:val="000000"/>
                <w:lang w:val="en-ZA"/>
              </w:rPr>
            </w:pPr>
          </w:p>
          <w:p w14:paraId="5E14F1F4" w14:textId="77777777" w:rsidR="00183F40" w:rsidRDefault="00183F40" w:rsidP="00183F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n-ZA"/>
              </w:rPr>
            </w:pPr>
            <w:r>
              <w:rPr>
                <w:rFonts w:ascii="Arial" w:eastAsiaTheme="minorHAnsi" w:hAnsi="Arial" w:cs="Arial"/>
                <w:lang w:val="en-ZA"/>
              </w:rPr>
              <w:t>The Committee for Auditing Standards (CFAS) a statutory committee of the Independent</w:t>
            </w:r>
          </w:p>
          <w:p w14:paraId="1F845AD0" w14:textId="04764E6A" w:rsidR="00183F40" w:rsidRDefault="00183F40" w:rsidP="00183F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n-ZA"/>
              </w:rPr>
            </w:pPr>
            <w:r>
              <w:rPr>
                <w:rFonts w:ascii="Arial" w:eastAsiaTheme="minorHAnsi" w:hAnsi="Arial" w:cs="Arial"/>
                <w:lang w:val="en-ZA"/>
              </w:rPr>
              <w:t>Regulatory Board for Auditors (IRBA) approved the release of an illustrative engagement letter for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the assurance engagement and an illustrative ass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lang w:val="en-ZA"/>
              </w:rPr>
              <w:t>urance report for use by registered auditors on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sustainability engagements in South Africa in order to promote consistency in the layout and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wording of the engagement letter for a sustainability assurance engagement and the assurance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report.</w:t>
            </w:r>
          </w:p>
          <w:p w14:paraId="339C960F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lang w:val="en-ZA"/>
              </w:rPr>
            </w:pPr>
          </w:p>
          <w:p w14:paraId="09C2DE62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i/>
                <w:iCs/>
                <w:lang w:val="en-ZA" w:bidi="he-IL"/>
              </w:rPr>
            </w:pPr>
            <w:r>
              <w:rPr>
                <w:rFonts w:ascii="Arial" w:eastAsiaTheme="minorHAnsi" w:hAnsi="Arial" w:cs="Arial"/>
                <w:i/>
                <w:iCs/>
                <w:lang w:val="en-ZA" w:bidi="he-IL"/>
              </w:rPr>
              <w:t>Applicable assurance standard</w:t>
            </w:r>
          </w:p>
          <w:p w14:paraId="13DA1B96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i/>
                <w:iCs/>
                <w:lang w:val="en-ZA" w:bidi="he-IL"/>
              </w:rPr>
            </w:pPr>
          </w:p>
          <w:p w14:paraId="21EF4CFB" w14:textId="485AD45A" w:rsidR="00183F40" w:rsidRDefault="00183F40" w:rsidP="00183F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n-ZA"/>
              </w:rPr>
            </w:pPr>
            <w:r>
              <w:rPr>
                <w:rFonts w:ascii="Arial" w:eastAsiaTheme="minorHAnsi" w:hAnsi="Arial" w:cs="Arial"/>
                <w:lang w:val="en-ZA"/>
              </w:rPr>
              <w:t>The practitioner conducts a limited assurance engagement in accordance with the International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 xml:space="preserve">Standard on Assurance Engagements (ISAE) 3000, </w:t>
            </w:r>
            <w:r>
              <w:rPr>
                <w:rFonts w:ascii="Arial" w:eastAsiaTheme="minorHAnsi" w:hAnsi="Arial" w:cs="Arial"/>
                <w:i/>
                <w:iCs/>
                <w:lang w:val="en-ZA" w:bidi="he-IL"/>
              </w:rPr>
              <w:t>Assurance Engagements other than Audits or</w:t>
            </w:r>
            <w:r>
              <w:rPr>
                <w:rFonts w:ascii="Arial" w:eastAsiaTheme="minorHAnsi" w:hAnsi="Arial" w:cs="Arial"/>
                <w:i/>
                <w:iCs/>
                <w:lang w:val="en-ZA" w:bidi="he-IL"/>
              </w:rPr>
              <w:t xml:space="preserve"> </w:t>
            </w:r>
            <w:r>
              <w:rPr>
                <w:rFonts w:ascii="Arial" w:eastAsiaTheme="minorHAnsi" w:hAnsi="Arial" w:cs="Arial"/>
                <w:i/>
                <w:iCs/>
                <w:lang w:val="en-ZA" w:bidi="he-IL"/>
              </w:rPr>
              <w:t>Reviews of Historical Financial Information</w:t>
            </w:r>
            <w:r>
              <w:rPr>
                <w:rFonts w:ascii="Arial" w:eastAsiaTheme="minorHAnsi" w:hAnsi="Arial" w:cs="Arial"/>
                <w:lang w:val="en-ZA"/>
              </w:rPr>
              <w:t>, issued by the International Auditing and Assurance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Standards Board.</w:t>
            </w:r>
          </w:p>
          <w:p w14:paraId="7468EFF4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lang w:val="en-ZA"/>
              </w:rPr>
            </w:pPr>
          </w:p>
          <w:p w14:paraId="218C6BA4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i/>
                <w:iCs/>
                <w:lang w:val="en-ZA" w:bidi="he-IL"/>
              </w:rPr>
            </w:pPr>
            <w:r>
              <w:rPr>
                <w:rFonts w:ascii="Arial" w:eastAsiaTheme="minorHAnsi" w:hAnsi="Arial" w:cs="Arial"/>
                <w:i/>
                <w:iCs/>
                <w:lang w:val="en-ZA" w:bidi="he-IL"/>
              </w:rPr>
              <w:t>Criteria used to evaluate the subject matter of a sustainability report</w:t>
            </w:r>
          </w:p>
          <w:p w14:paraId="230A3B8F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i/>
                <w:iCs/>
                <w:lang w:val="en-ZA" w:bidi="he-IL"/>
              </w:rPr>
            </w:pPr>
          </w:p>
          <w:p w14:paraId="4F2F75F4" w14:textId="069D95A8" w:rsidR="00183F40" w:rsidRDefault="00183F40" w:rsidP="00183F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n-ZA"/>
              </w:rPr>
            </w:pPr>
            <w:r>
              <w:rPr>
                <w:rFonts w:ascii="Arial" w:eastAsiaTheme="minorHAnsi" w:hAnsi="Arial" w:cs="Arial"/>
                <w:lang w:val="en-ZA"/>
              </w:rPr>
              <w:t>The illustrative engagement letter for the assurance engagement and the illustrative assurance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report have been prepared using an example of circumstances where the subject matter of the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engagement includes selected key performance indicators prepared in accordance with the Global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Reporting Initiative (GRI) G3.1 Guidelines, the criteria applied to evaluate the subject matter</w:t>
            </w:r>
            <w:r>
              <w:rPr>
                <w:rFonts w:ascii="Arial" w:eastAsiaTheme="minorHAnsi" w:hAnsi="Arial" w:cs="Arial"/>
                <w:lang w:val="en-ZA"/>
              </w:rPr>
              <w:t>.</w:t>
            </w:r>
          </w:p>
          <w:p w14:paraId="6ACCF957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lang w:val="en-ZA"/>
              </w:rPr>
            </w:pPr>
          </w:p>
          <w:p w14:paraId="5E0D22D5" w14:textId="3B664423" w:rsidR="00183F40" w:rsidRDefault="00183F40" w:rsidP="00183F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n-ZA"/>
              </w:rPr>
            </w:pPr>
            <w:r>
              <w:rPr>
                <w:rFonts w:ascii="Arial" w:eastAsiaTheme="minorHAnsi" w:hAnsi="Arial" w:cs="Arial"/>
                <w:lang w:val="en-ZA"/>
              </w:rPr>
              <w:t>The engagement may include other subject matters arising from, for example, the application of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lang w:val="en-ZA"/>
              </w:rPr>
              <w:t>AccountAbility</w:t>
            </w:r>
            <w:proofErr w:type="spellEnd"/>
            <w:r>
              <w:rPr>
                <w:rFonts w:ascii="Arial" w:eastAsiaTheme="minorHAnsi" w:hAnsi="Arial" w:cs="Arial"/>
                <w:lang w:val="en-ZA"/>
              </w:rPr>
              <w:t xml:space="preserve"> 1000 Accounting Principles Standard (AA1000APS). When such additional subject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matters are included in the scope of the engagement, the assurance report should be expanded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accordingly, including referring to “selected sustainability information” instead of “selected key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performance indicators” with appropriate conclusions for each subject matter. Furthermore, with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the release of GRI G4 guidelines, the GRI application levels (previously present in G3 and G3.1)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will no longer exist. The engagement letter for the assurance engagement should clearly identify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the subject matters and be adapted having regard to the engagement agreed with management.</w:t>
            </w:r>
          </w:p>
          <w:p w14:paraId="38FE2B82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lang w:val="en-ZA"/>
              </w:rPr>
            </w:pPr>
          </w:p>
          <w:p w14:paraId="7392F8F2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i/>
                <w:iCs/>
                <w:lang w:val="en-ZA" w:bidi="he-IL"/>
              </w:rPr>
            </w:pPr>
            <w:r>
              <w:rPr>
                <w:rFonts w:ascii="Arial" w:eastAsiaTheme="minorHAnsi" w:hAnsi="Arial" w:cs="Arial"/>
                <w:i/>
                <w:iCs/>
                <w:lang w:val="en-ZA" w:bidi="he-IL"/>
              </w:rPr>
              <w:t>Illustrative engagement letter for the assurance engagement and the assurance report</w:t>
            </w:r>
          </w:p>
          <w:p w14:paraId="68654BEE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i/>
                <w:iCs/>
                <w:lang w:val="en-ZA" w:bidi="he-IL"/>
              </w:rPr>
            </w:pPr>
          </w:p>
          <w:p w14:paraId="1D94A85C" w14:textId="7FEF5350" w:rsidR="00183F40" w:rsidRDefault="00183F40" w:rsidP="00183F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val="en-ZA"/>
              </w:rPr>
            </w:pPr>
            <w:r>
              <w:rPr>
                <w:rFonts w:ascii="Arial" w:eastAsiaTheme="minorHAnsi" w:hAnsi="Arial" w:cs="Arial"/>
                <w:lang w:val="en-ZA"/>
              </w:rPr>
              <w:t>The content of the illustrative engagement letter for the assurance engagement and illustrative</w:t>
            </w:r>
            <w:r>
              <w:rPr>
                <w:rFonts w:ascii="Arial" w:eastAsiaTheme="minorHAnsi" w:hAnsi="Arial" w:cs="Arial"/>
                <w:lang w:val="en-ZA"/>
              </w:rPr>
              <w:t xml:space="preserve"> </w:t>
            </w:r>
            <w:r>
              <w:rPr>
                <w:rFonts w:ascii="Arial" w:eastAsiaTheme="minorHAnsi" w:hAnsi="Arial" w:cs="Arial"/>
                <w:lang w:val="en-ZA"/>
              </w:rPr>
              <w:t>assurance report must be adapted to the circumstances of the particular engagement.</w:t>
            </w:r>
          </w:p>
          <w:p w14:paraId="6B0B88CB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lang w:val="en-ZA"/>
              </w:rPr>
            </w:pPr>
          </w:p>
          <w:p w14:paraId="4F7F143C" w14:textId="77777777" w:rsidR="00183F40" w:rsidRDefault="00183F40" w:rsidP="00183F40">
            <w:pPr>
              <w:jc w:val="both"/>
              <w:rPr>
                <w:rFonts w:ascii="Arial" w:eastAsiaTheme="minorHAnsi" w:hAnsi="Arial" w:cs="Arial"/>
                <w:lang w:val="en-ZA"/>
              </w:rPr>
            </w:pPr>
          </w:p>
          <w:p w14:paraId="7C2CEB96" w14:textId="77777777" w:rsidR="00183F40" w:rsidRPr="00183F40" w:rsidRDefault="00183F40" w:rsidP="00183F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n-ZA"/>
              </w:rPr>
            </w:pPr>
            <w:r w:rsidRPr="00183F40">
              <w:rPr>
                <w:rFonts w:ascii="Arial" w:eastAsiaTheme="minorHAnsi" w:hAnsi="Arial" w:cs="Arial"/>
                <w:b/>
                <w:lang w:val="en-ZA"/>
              </w:rPr>
              <w:t>Sandy van Esch</w:t>
            </w:r>
          </w:p>
          <w:p w14:paraId="6256DD37" w14:textId="77777777" w:rsidR="00183F40" w:rsidRPr="00183F40" w:rsidRDefault="00183F40" w:rsidP="00183F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val="en-ZA"/>
              </w:rPr>
            </w:pPr>
            <w:r w:rsidRPr="00183F40">
              <w:rPr>
                <w:rFonts w:ascii="Arial" w:eastAsiaTheme="minorHAnsi" w:hAnsi="Arial" w:cs="Arial"/>
                <w:b/>
                <w:lang w:val="en-ZA"/>
              </w:rPr>
              <w:t>Director: Standards</w:t>
            </w:r>
          </w:p>
          <w:p w14:paraId="0864A933" w14:textId="39716D68" w:rsidR="00183F40" w:rsidRDefault="00183F40" w:rsidP="00183F40">
            <w:pPr>
              <w:rPr>
                <w:rFonts w:ascii="Arial" w:hAnsi="Arial" w:cs="Arial"/>
              </w:rPr>
            </w:pPr>
            <w:r w:rsidRPr="00183F40">
              <w:rPr>
                <w:rFonts w:ascii="Arial" w:eastAsiaTheme="minorHAnsi" w:hAnsi="Arial" w:cs="Arial"/>
                <w:b/>
                <w:lang w:val="en-ZA"/>
              </w:rPr>
              <w:t>17 April 2014</w:t>
            </w:r>
          </w:p>
        </w:tc>
      </w:tr>
    </w:tbl>
    <w:p w14:paraId="1D5A8F22" w14:textId="77777777" w:rsidR="00D063C9" w:rsidRPr="00F76271" w:rsidRDefault="00D063C9">
      <w:pPr>
        <w:rPr>
          <w:rFonts w:ascii="Arial" w:hAnsi="Arial" w:cs="Arial"/>
        </w:rPr>
      </w:pPr>
    </w:p>
    <w:p w14:paraId="157C2689" w14:textId="77777777" w:rsidR="00F76271" w:rsidRPr="00F76271" w:rsidRDefault="00F76271">
      <w:pPr>
        <w:rPr>
          <w:rFonts w:ascii="Arial" w:hAnsi="Arial" w:cs="Arial"/>
        </w:rPr>
      </w:pPr>
    </w:p>
    <w:p w14:paraId="23741332" w14:textId="61FCE177" w:rsidR="00F76271" w:rsidRPr="003F3563" w:rsidRDefault="00F76271" w:rsidP="00FC42AC">
      <w:pPr>
        <w:spacing w:after="120"/>
        <w:jc w:val="both"/>
        <w:rPr>
          <w:rFonts w:ascii="Arial" w:hAnsi="Arial" w:cs="Arial"/>
          <w:sz w:val="20"/>
          <w:szCs w:val="20"/>
        </w:rPr>
      </w:pPr>
    </w:p>
    <w:sectPr w:rsidR="00F76271" w:rsidRPr="003F3563" w:rsidSect="00D972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E17"/>
    <w:multiLevelType w:val="hybridMultilevel"/>
    <w:tmpl w:val="B85E8442"/>
    <w:lvl w:ilvl="0" w:tplc="5456FF38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Arial" w:hAnsi="Arial" w:hint="default"/>
        <w:spacing w:val="0"/>
        <w:w w:val="100"/>
        <w:position w:val="0"/>
        <w:sz w:val="22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893E79"/>
    <w:multiLevelType w:val="hybridMultilevel"/>
    <w:tmpl w:val="F0324522"/>
    <w:lvl w:ilvl="0" w:tplc="B204D76C">
      <w:start w:val="1"/>
      <w:numFmt w:val="lowerLetter"/>
      <w:lvlText w:val="(%1)"/>
      <w:lvlJc w:val="left"/>
      <w:pPr>
        <w:ind w:left="36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3" w:hanging="360"/>
      </w:pPr>
    </w:lvl>
    <w:lvl w:ilvl="2" w:tplc="1C09001B" w:tentative="1">
      <w:start w:val="1"/>
      <w:numFmt w:val="lowerRoman"/>
      <w:lvlText w:val="%3."/>
      <w:lvlJc w:val="right"/>
      <w:pPr>
        <w:ind w:left="1803" w:hanging="180"/>
      </w:pPr>
    </w:lvl>
    <w:lvl w:ilvl="3" w:tplc="1C09000F" w:tentative="1">
      <w:start w:val="1"/>
      <w:numFmt w:val="decimal"/>
      <w:lvlText w:val="%4."/>
      <w:lvlJc w:val="left"/>
      <w:pPr>
        <w:ind w:left="2523" w:hanging="360"/>
      </w:pPr>
    </w:lvl>
    <w:lvl w:ilvl="4" w:tplc="1C090019" w:tentative="1">
      <w:start w:val="1"/>
      <w:numFmt w:val="lowerLetter"/>
      <w:lvlText w:val="%5."/>
      <w:lvlJc w:val="left"/>
      <w:pPr>
        <w:ind w:left="3243" w:hanging="360"/>
      </w:pPr>
    </w:lvl>
    <w:lvl w:ilvl="5" w:tplc="1C09001B" w:tentative="1">
      <w:start w:val="1"/>
      <w:numFmt w:val="lowerRoman"/>
      <w:lvlText w:val="%6."/>
      <w:lvlJc w:val="right"/>
      <w:pPr>
        <w:ind w:left="3963" w:hanging="180"/>
      </w:pPr>
    </w:lvl>
    <w:lvl w:ilvl="6" w:tplc="1C09000F" w:tentative="1">
      <w:start w:val="1"/>
      <w:numFmt w:val="decimal"/>
      <w:lvlText w:val="%7."/>
      <w:lvlJc w:val="left"/>
      <w:pPr>
        <w:ind w:left="4683" w:hanging="360"/>
      </w:pPr>
    </w:lvl>
    <w:lvl w:ilvl="7" w:tplc="1C090019" w:tentative="1">
      <w:start w:val="1"/>
      <w:numFmt w:val="lowerLetter"/>
      <w:lvlText w:val="%8."/>
      <w:lvlJc w:val="left"/>
      <w:pPr>
        <w:ind w:left="5403" w:hanging="360"/>
      </w:pPr>
    </w:lvl>
    <w:lvl w:ilvl="8" w:tplc="1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9375832"/>
    <w:multiLevelType w:val="hybridMultilevel"/>
    <w:tmpl w:val="2E18AA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1D3A"/>
    <w:multiLevelType w:val="hybridMultilevel"/>
    <w:tmpl w:val="E87A3AD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B362BCE"/>
    <w:multiLevelType w:val="hybridMultilevel"/>
    <w:tmpl w:val="524CC104"/>
    <w:lvl w:ilvl="0" w:tplc="5D7017D2">
      <w:start w:val="1"/>
      <w:numFmt w:val="lowerLetter"/>
      <w:lvlText w:val="(%1)"/>
      <w:lvlJc w:val="left"/>
      <w:pPr>
        <w:ind w:left="360" w:hanging="360"/>
      </w:pPr>
      <w:rPr>
        <w:rFonts w:ascii="Arial" w:hAnsi="Arial" w:cstheme="majorHAnsi"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8A"/>
    <w:rsid w:val="0000527C"/>
    <w:rsid w:val="000A10B3"/>
    <w:rsid w:val="00183F40"/>
    <w:rsid w:val="00287884"/>
    <w:rsid w:val="00313E3B"/>
    <w:rsid w:val="00315338"/>
    <w:rsid w:val="003F3563"/>
    <w:rsid w:val="00415BB8"/>
    <w:rsid w:val="00510680"/>
    <w:rsid w:val="00513971"/>
    <w:rsid w:val="005712D3"/>
    <w:rsid w:val="006A2A11"/>
    <w:rsid w:val="007441F3"/>
    <w:rsid w:val="007625AA"/>
    <w:rsid w:val="00794A42"/>
    <w:rsid w:val="00830FCD"/>
    <w:rsid w:val="008E4C3F"/>
    <w:rsid w:val="009413CF"/>
    <w:rsid w:val="00981C35"/>
    <w:rsid w:val="009F39CC"/>
    <w:rsid w:val="00A91567"/>
    <w:rsid w:val="00C46BE2"/>
    <w:rsid w:val="00C549E2"/>
    <w:rsid w:val="00D063C9"/>
    <w:rsid w:val="00D21A15"/>
    <w:rsid w:val="00D308A9"/>
    <w:rsid w:val="00D42764"/>
    <w:rsid w:val="00D9728A"/>
    <w:rsid w:val="00EF1614"/>
    <w:rsid w:val="00F31D6E"/>
    <w:rsid w:val="00F613D1"/>
    <w:rsid w:val="00F76271"/>
    <w:rsid w:val="00F8754D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8A79"/>
  <w15:docId w15:val="{BA73A2FC-34E9-4A5F-8969-2CCECD5E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76271"/>
    <w:rPr>
      <w:rFonts w:cs="Times New Roman"/>
      <w:color w:val="BD392D"/>
      <w:u w:val="single"/>
      <w:effect w:val="none"/>
    </w:rPr>
  </w:style>
  <w:style w:type="paragraph" w:styleId="NormalWeb">
    <w:name w:val="Normal (Web)"/>
    <w:basedOn w:val="Normal"/>
    <w:uiPriority w:val="99"/>
    <w:rsid w:val="00F76271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A10B3"/>
    <w:pPr>
      <w:spacing w:after="200"/>
    </w:pPr>
    <w:rPr>
      <w:rFonts w:ascii="Calibri" w:eastAsiaTheme="minorHAns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0B3"/>
    <w:rPr>
      <w:rFonts w:ascii="Calibri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10B3"/>
  </w:style>
  <w:style w:type="paragraph" w:styleId="BalloonText">
    <w:name w:val="Balloon Text"/>
    <w:basedOn w:val="Normal"/>
    <w:link w:val="BalloonTextChar"/>
    <w:uiPriority w:val="99"/>
    <w:semiHidden/>
    <w:unhideWhenUsed/>
    <w:rsid w:val="000A1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0B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A10B3"/>
    <w:pPr>
      <w:numPr>
        <w:numId w:val="1"/>
      </w:numPr>
      <w:spacing w:after="120" w:line="271" w:lineRule="auto"/>
      <w:jc w:val="both"/>
    </w:pPr>
    <w:rPr>
      <w:rFonts w:ascii="Arial" w:hAnsi="Arial"/>
      <w:sz w:val="22"/>
      <w:lang w:val="en-ZA" w:eastAsia="en-ZA"/>
    </w:rPr>
  </w:style>
  <w:style w:type="character" w:styleId="Strong">
    <w:name w:val="Strong"/>
    <w:basedOn w:val="DefaultParagraphFont"/>
    <w:uiPriority w:val="22"/>
    <w:qFormat/>
    <w:rsid w:val="000A10B3"/>
    <w:rPr>
      <w:b/>
      <w:bCs/>
    </w:rPr>
  </w:style>
  <w:style w:type="character" w:styleId="Emphasis">
    <w:name w:val="Emphasis"/>
    <w:basedOn w:val="DefaultParagraphFont"/>
    <w:uiPriority w:val="20"/>
    <w:qFormat/>
    <w:rsid w:val="000A10B3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A10B3"/>
    <w:rPr>
      <w:rFonts w:eastAsia="Times New Roman" w:cs="Times New Roman"/>
      <w:szCs w:val="24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1F3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1F3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063C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06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a.co.za/guidance-to-ras/technical-guidance-for-auditors/other-assurance-including-b-bbee/integrated-reporting-assurance-and-sustainability-reporting-assuranc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rba.co.za/upload/Illustrative%20Engagement%20Letter%20for%20the%20Assurance%20Engagement_NBYL20150831_Cle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ba.co.za/guidance-to-ras/technical-guidance-for-auditors/other-assurance-including-b-bbee/integrated-reporting-assurance-and-sustainability-reporting-assuranc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rba.co.za/upload/Illustrative%20Assurance%20Report_NBYL20150831_Cle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6F73-077E-4F74-91B7-86EF02CB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Henriette Fortuin</dc:creator>
  <cp:lastModifiedBy>Henriette Fortuin</cp:lastModifiedBy>
  <cp:revision>3</cp:revision>
  <dcterms:created xsi:type="dcterms:W3CDTF">2016-07-08T10:02:00Z</dcterms:created>
  <dcterms:modified xsi:type="dcterms:W3CDTF">2016-07-08T10:14:00Z</dcterms:modified>
</cp:coreProperties>
</file>