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11" w:type="dxa"/>
        <w:tblCellSpacing w:w="15" w:type="dxa"/>
        <w:tblCellMar>
          <w:left w:w="0" w:type="dxa"/>
          <w:right w:w="0" w:type="dxa"/>
        </w:tblCellMar>
        <w:tblLook w:val="0000" w:firstRow="0" w:lastRow="0" w:firstColumn="0" w:lastColumn="0" w:noHBand="0" w:noVBand="0"/>
      </w:tblPr>
      <w:tblGrid>
        <w:gridCol w:w="8811"/>
      </w:tblGrid>
      <w:tr w:rsidR="001D09E4" w:rsidRPr="007279B3" w:rsidTr="006A71D7">
        <w:trPr>
          <w:trHeight w:val="1747"/>
          <w:tblCellSpacing w:w="15" w:type="dxa"/>
        </w:trPr>
        <w:tc>
          <w:tcPr>
            <w:tcW w:w="8751" w:type="dxa"/>
          </w:tcPr>
          <w:p w:rsidR="008E1FA4" w:rsidRPr="006372C2" w:rsidRDefault="001D09E4" w:rsidP="005D7CC4">
            <w:pPr>
              <w:pBdr>
                <w:top w:val="single" w:sz="4" w:space="1" w:color="auto"/>
                <w:bottom w:val="single" w:sz="4" w:space="1" w:color="auto"/>
              </w:pBdr>
              <w:spacing w:before="120" w:after="120" w:line="312" w:lineRule="atLeast"/>
              <w:jc w:val="center"/>
              <w:rPr>
                <w:rFonts w:ascii="Arial" w:hAnsi="Arial" w:cs="Arial"/>
                <w:b/>
                <w:bCs/>
                <w:color w:val="CC0000"/>
                <w:lang w:val="en-GB"/>
              </w:rPr>
            </w:pPr>
            <w:r w:rsidRPr="006372C2">
              <w:rPr>
                <w:rFonts w:ascii="Arial" w:hAnsi="Arial" w:cs="Arial"/>
                <w:b/>
                <w:bCs/>
                <w:color w:val="CC0000"/>
                <w:lang w:val="en-GB"/>
              </w:rPr>
              <w:t>INDEPENDENT REGULATORY BOARD FOR AUDITORS</w:t>
            </w:r>
          </w:p>
          <w:p w:rsidR="00FA39F2" w:rsidRPr="006372C2" w:rsidRDefault="00FA39F2" w:rsidP="005D7CC4">
            <w:pPr>
              <w:pBdr>
                <w:top w:val="single" w:sz="4" w:space="1" w:color="auto"/>
                <w:bottom w:val="single" w:sz="4" w:space="1" w:color="auto"/>
              </w:pBdr>
              <w:spacing w:before="120" w:after="120" w:line="312" w:lineRule="atLeast"/>
              <w:jc w:val="center"/>
              <w:rPr>
                <w:rFonts w:ascii="Arial" w:hAnsi="Arial" w:cs="Arial"/>
                <w:b/>
                <w:bCs/>
                <w:color w:val="CC0000"/>
                <w:lang w:val="en-GB"/>
              </w:rPr>
            </w:pPr>
            <w:r w:rsidRPr="006372C2">
              <w:rPr>
                <w:rFonts w:ascii="Arial" w:hAnsi="Arial" w:cs="Arial"/>
                <w:b/>
                <w:bCs/>
                <w:color w:val="CC0000"/>
                <w:lang w:val="en-GB"/>
              </w:rPr>
              <w:t>COMMITTEE FOR AUDITOR ETHICS</w:t>
            </w:r>
          </w:p>
          <w:p w:rsidR="008E1FA4" w:rsidRPr="006372C2" w:rsidRDefault="00CB6B61" w:rsidP="00C54FEE">
            <w:pPr>
              <w:spacing w:before="120" w:after="120"/>
              <w:jc w:val="center"/>
              <w:rPr>
                <w:rFonts w:ascii="Arial" w:hAnsi="Arial" w:cs="Arial"/>
                <w:b/>
                <w:sz w:val="22"/>
                <w:szCs w:val="22"/>
              </w:rPr>
            </w:pPr>
            <w:bookmarkStart w:id="0" w:name="Text2"/>
            <w:bookmarkEnd w:id="0"/>
            <w:r w:rsidRPr="006372C2">
              <w:rPr>
                <w:rFonts w:ascii="Arial" w:hAnsi="Arial" w:cs="Arial"/>
                <w:b/>
                <w:sz w:val="22"/>
                <w:szCs w:val="22"/>
              </w:rPr>
              <w:t>FINAL AMENDMENTS TO THE IRBA CODE OF PROFESSIONAL CONDUCT FOR REGISTERED AUDITORS RELATING TO THE DEFINIT</w:t>
            </w:r>
            <w:r w:rsidR="00CD7B0B">
              <w:rPr>
                <w:rFonts w:ascii="Arial" w:hAnsi="Arial" w:cs="Arial"/>
                <w:b/>
                <w:sz w:val="22"/>
                <w:szCs w:val="22"/>
              </w:rPr>
              <w:t>ION OF PUBLIC INTEREST ENTITIES</w:t>
            </w:r>
          </w:p>
          <w:p w:rsidR="00734BE1" w:rsidRPr="006372C2" w:rsidRDefault="00C54FEE" w:rsidP="00F464AB">
            <w:pPr>
              <w:spacing w:before="120" w:after="120"/>
              <w:jc w:val="center"/>
              <w:rPr>
                <w:rFonts w:ascii="Arial" w:hAnsi="Arial" w:cs="Arial"/>
                <w:sz w:val="22"/>
                <w:szCs w:val="22"/>
                <w:lang w:val="en-GB"/>
              </w:rPr>
            </w:pPr>
            <w:r w:rsidRPr="006372C2">
              <w:rPr>
                <w:rFonts w:ascii="Arial" w:hAnsi="Arial" w:cs="Arial"/>
                <w:sz w:val="22"/>
                <w:szCs w:val="22"/>
                <w:lang w:val="en-GB"/>
              </w:rPr>
              <w:t xml:space="preserve">Johannesburg / </w:t>
            </w:r>
            <w:r w:rsidR="00731067">
              <w:rPr>
                <w:rFonts w:ascii="Arial" w:hAnsi="Arial" w:cs="Arial"/>
                <w:sz w:val="22"/>
                <w:szCs w:val="22"/>
                <w:lang w:val="en-GB"/>
              </w:rPr>
              <w:t xml:space="preserve">4 March </w:t>
            </w:r>
            <w:r w:rsidR="00BA7706" w:rsidRPr="006372C2">
              <w:rPr>
                <w:rFonts w:ascii="Arial" w:hAnsi="Arial" w:cs="Arial"/>
                <w:sz w:val="22"/>
                <w:szCs w:val="22"/>
                <w:lang w:val="en-GB"/>
              </w:rPr>
              <w:t>2016</w:t>
            </w:r>
          </w:p>
          <w:p w:rsidR="00F464AB" w:rsidRPr="006372C2" w:rsidRDefault="00F464AB" w:rsidP="00F464AB">
            <w:pPr>
              <w:spacing w:before="120" w:after="120"/>
              <w:jc w:val="center"/>
              <w:rPr>
                <w:rFonts w:ascii="Arial" w:hAnsi="Arial" w:cs="Arial"/>
                <w:sz w:val="22"/>
                <w:szCs w:val="22"/>
                <w:lang w:val="en-GB"/>
              </w:rPr>
            </w:pPr>
          </w:p>
          <w:p w:rsidR="00873E5B" w:rsidRPr="006372C2" w:rsidRDefault="00873E5B" w:rsidP="00873E5B">
            <w:pPr>
              <w:keepNext/>
              <w:keepLines/>
              <w:tabs>
                <w:tab w:val="left" w:pos="9326"/>
              </w:tabs>
              <w:ind w:left="113" w:right="253"/>
              <w:jc w:val="both"/>
              <w:rPr>
                <w:rFonts w:ascii="Arial" w:hAnsi="Arial" w:cs="Arial"/>
                <w:sz w:val="22"/>
                <w:szCs w:val="22"/>
              </w:rPr>
            </w:pPr>
            <w:r w:rsidRPr="006372C2">
              <w:rPr>
                <w:rFonts w:ascii="Arial" w:hAnsi="Arial" w:cs="Arial"/>
                <w:sz w:val="22"/>
                <w:szCs w:val="22"/>
              </w:rPr>
              <w:t xml:space="preserve">The Independent Regulatory Board for Auditors (IRBA) draws the attention of all registered auditors to changes to the IRBA Code of Professional Conduct (IRBA Code) relating to the definition of </w:t>
            </w:r>
            <w:r w:rsidR="007173E2">
              <w:rPr>
                <w:rFonts w:ascii="Arial" w:hAnsi="Arial" w:cs="Arial"/>
                <w:sz w:val="22"/>
                <w:szCs w:val="22"/>
              </w:rPr>
              <w:t>p</w:t>
            </w:r>
            <w:r w:rsidRPr="006372C2">
              <w:rPr>
                <w:rFonts w:ascii="Arial" w:hAnsi="Arial" w:cs="Arial"/>
                <w:sz w:val="22"/>
                <w:szCs w:val="22"/>
              </w:rPr>
              <w:t xml:space="preserve">ublic </w:t>
            </w:r>
            <w:r w:rsidR="007173E2">
              <w:rPr>
                <w:rFonts w:ascii="Arial" w:hAnsi="Arial" w:cs="Arial"/>
                <w:sz w:val="22"/>
                <w:szCs w:val="22"/>
              </w:rPr>
              <w:t>i</w:t>
            </w:r>
            <w:r w:rsidRPr="006372C2">
              <w:rPr>
                <w:rFonts w:ascii="Arial" w:hAnsi="Arial" w:cs="Arial"/>
                <w:sz w:val="22"/>
                <w:szCs w:val="22"/>
              </w:rPr>
              <w:t xml:space="preserve">nterest </w:t>
            </w:r>
            <w:r w:rsidR="007173E2">
              <w:rPr>
                <w:rFonts w:ascii="Arial" w:hAnsi="Arial" w:cs="Arial"/>
                <w:sz w:val="22"/>
                <w:szCs w:val="22"/>
              </w:rPr>
              <w:t>e</w:t>
            </w:r>
            <w:r w:rsidRPr="006372C2">
              <w:rPr>
                <w:rFonts w:ascii="Arial" w:hAnsi="Arial" w:cs="Arial"/>
                <w:sz w:val="22"/>
                <w:szCs w:val="22"/>
              </w:rPr>
              <w:t>ntities (PIE).</w:t>
            </w:r>
          </w:p>
          <w:p w:rsidR="00873E5B" w:rsidRPr="006372C2" w:rsidRDefault="00873E5B" w:rsidP="00873E5B">
            <w:pPr>
              <w:keepNext/>
              <w:keepLines/>
              <w:tabs>
                <w:tab w:val="left" w:pos="9326"/>
              </w:tabs>
              <w:ind w:left="113" w:right="253"/>
              <w:jc w:val="both"/>
              <w:rPr>
                <w:rFonts w:ascii="Arial" w:hAnsi="Arial" w:cs="Arial"/>
                <w:sz w:val="22"/>
                <w:szCs w:val="22"/>
              </w:rPr>
            </w:pPr>
          </w:p>
          <w:p w:rsidR="00520DCC" w:rsidRPr="006372C2" w:rsidRDefault="00520DCC" w:rsidP="00873E5B">
            <w:pPr>
              <w:autoSpaceDE w:val="0"/>
              <w:autoSpaceDN w:val="0"/>
              <w:adjustRightInd w:val="0"/>
              <w:ind w:left="112" w:right="253"/>
              <w:jc w:val="both"/>
              <w:rPr>
                <w:rFonts w:ascii="Arial" w:hAnsi="Arial" w:cs="Arial"/>
                <w:sz w:val="22"/>
                <w:szCs w:val="22"/>
              </w:rPr>
            </w:pPr>
            <w:r w:rsidRPr="006372C2">
              <w:rPr>
                <w:rFonts w:ascii="Arial" w:hAnsi="Arial" w:cs="Arial"/>
                <w:sz w:val="22"/>
                <w:szCs w:val="22"/>
              </w:rPr>
              <w:t>The IRBA adopted these local amendments</w:t>
            </w:r>
            <w:r w:rsidR="00873E5B" w:rsidRPr="006372C2">
              <w:rPr>
                <w:rFonts w:ascii="Arial" w:hAnsi="Arial" w:cs="Arial"/>
                <w:sz w:val="22"/>
                <w:szCs w:val="22"/>
              </w:rPr>
              <w:t xml:space="preserve"> following their issue on exposure </w:t>
            </w:r>
            <w:r w:rsidR="004F3075" w:rsidRPr="006372C2">
              <w:rPr>
                <w:rFonts w:ascii="Arial" w:hAnsi="Arial" w:cs="Arial"/>
                <w:sz w:val="22"/>
                <w:szCs w:val="22"/>
              </w:rPr>
              <w:t>on 24</w:t>
            </w:r>
            <w:r w:rsidR="007173E2">
              <w:rPr>
                <w:rFonts w:ascii="Arial" w:hAnsi="Arial" w:cs="Arial"/>
                <w:sz w:val="22"/>
                <w:szCs w:val="22"/>
              </w:rPr>
              <w:t xml:space="preserve"> </w:t>
            </w:r>
            <w:r w:rsidRPr="006372C2">
              <w:rPr>
                <w:rFonts w:ascii="Arial" w:hAnsi="Arial" w:cs="Arial"/>
                <w:sz w:val="22"/>
                <w:szCs w:val="22"/>
              </w:rPr>
              <w:t>April</w:t>
            </w:r>
            <w:r w:rsidR="00873E5B" w:rsidRPr="006372C2">
              <w:rPr>
                <w:rFonts w:ascii="Arial" w:hAnsi="Arial" w:cs="Arial"/>
                <w:sz w:val="22"/>
                <w:szCs w:val="22"/>
              </w:rPr>
              <w:t xml:space="preserve"> 2015 for public comment (Boa</w:t>
            </w:r>
            <w:r w:rsidRPr="006372C2">
              <w:rPr>
                <w:rFonts w:ascii="Arial" w:hAnsi="Arial" w:cs="Arial"/>
                <w:sz w:val="22"/>
                <w:szCs w:val="22"/>
              </w:rPr>
              <w:t>rd Notice 88</w:t>
            </w:r>
            <w:r w:rsidR="00873E5B" w:rsidRPr="006372C2">
              <w:rPr>
                <w:rFonts w:ascii="Arial" w:hAnsi="Arial" w:cs="Arial"/>
                <w:sz w:val="22"/>
                <w:szCs w:val="22"/>
              </w:rPr>
              <w:t xml:space="preserve"> of 2015). </w:t>
            </w:r>
          </w:p>
          <w:p w:rsidR="00F22110" w:rsidRPr="006372C2" w:rsidRDefault="00F22110" w:rsidP="00520DCC">
            <w:pPr>
              <w:autoSpaceDE w:val="0"/>
              <w:autoSpaceDN w:val="0"/>
              <w:adjustRightInd w:val="0"/>
              <w:ind w:right="253"/>
              <w:jc w:val="both"/>
              <w:rPr>
                <w:rFonts w:ascii="Arial" w:hAnsi="Arial" w:cs="Arial"/>
                <w:sz w:val="22"/>
                <w:szCs w:val="22"/>
              </w:rPr>
            </w:pPr>
          </w:p>
          <w:p w:rsidR="004F3075" w:rsidRPr="006372C2" w:rsidRDefault="00F22110" w:rsidP="004F3075">
            <w:pPr>
              <w:autoSpaceDE w:val="0"/>
              <w:autoSpaceDN w:val="0"/>
              <w:adjustRightInd w:val="0"/>
              <w:ind w:left="142" w:right="253"/>
              <w:jc w:val="both"/>
              <w:rPr>
                <w:rFonts w:ascii="Arial" w:hAnsi="Arial" w:cs="Arial"/>
                <w:sz w:val="22"/>
                <w:szCs w:val="22"/>
              </w:rPr>
            </w:pPr>
            <w:r w:rsidRPr="006372C2">
              <w:rPr>
                <w:rFonts w:ascii="Arial" w:hAnsi="Arial" w:cs="Arial"/>
                <w:sz w:val="22"/>
                <w:szCs w:val="22"/>
              </w:rPr>
              <w:t>The CFAE has consulted with the Financial Services Board</w:t>
            </w:r>
            <w:r w:rsidR="004F3075" w:rsidRPr="006372C2">
              <w:rPr>
                <w:rFonts w:ascii="Arial" w:hAnsi="Arial" w:cs="Arial"/>
                <w:sz w:val="22"/>
                <w:szCs w:val="22"/>
              </w:rPr>
              <w:t xml:space="preserve"> (FSB)</w:t>
            </w:r>
            <w:r w:rsidRPr="006372C2">
              <w:rPr>
                <w:rFonts w:ascii="Arial" w:hAnsi="Arial" w:cs="Arial"/>
                <w:sz w:val="22"/>
                <w:szCs w:val="22"/>
              </w:rPr>
              <w:t xml:space="preserve">, the </w:t>
            </w:r>
            <w:r w:rsidR="004F3075" w:rsidRPr="006372C2">
              <w:rPr>
                <w:rFonts w:ascii="Arial" w:hAnsi="Arial" w:cs="Arial"/>
                <w:sz w:val="22"/>
                <w:szCs w:val="22"/>
              </w:rPr>
              <w:t>Johannesburg Stock Exchange</w:t>
            </w:r>
            <w:r w:rsidRPr="006372C2">
              <w:rPr>
                <w:rFonts w:ascii="Arial" w:hAnsi="Arial" w:cs="Arial"/>
                <w:sz w:val="22"/>
                <w:szCs w:val="22"/>
              </w:rPr>
              <w:t xml:space="preserve">, </w:t>
            </w:r>
            <w:r w:rsidR="007173E2">
              <w:rPr>
                <w:rFonts w:ascii="Arial" w:hAnsi="Arial" w:cs="Arial"/>
                <w:sz w:val="22"/>
                <w:szCs w:val="22"/>
              </w:rPr>
              <w:t xml:space="preserve">the </w:t>
            </w:r>
            <w:r w:rsidRPr="006372C2">
              <w:rPr>
                <w:rFonts w:ascii="Arial" w:hAnsi="Arial" w:cs="Arial"/>
                <w:sz w:val="22"/>
                <w:szCs w:val="22"/>
              </w:rPr>
              <w:t xml:space="preserve">South African Reserve Bank, </w:t>
            </w:r>
            <w:r w:rsidR="007173E2">
              <w:rPr>
                <w:rFonts w:ascii="Arial" w:hAnsi="Arial" w:cs="Arial"/>
                <w:sz w:val="22"/>
                <w:szCs w:val="22"/>
              </w:rPr>
              <w:t xml:space="preserve">the </w:t>
            </w:r>
            <w:r w:rsidRPr="006372C2">
              <w:rPr>
                <w:rFonts w:ascii="Arial" w:hAnsi="Arial" w:cs="Arial"/>
                <w:sz w:val="22"/>
                <w:szCs w:val="22"/>
              </w:rPr>
              <w:t>Council for Medical Schemes</w:t>
            </w:r>
            <w:r w:rsidR="000859A2">
              <w:rPr>
                <w:rFonts w:ascii="Arial" w:hAnsi="Arial" w:cs="Arial"/>
                <w:sz w:val="22"/>
                <w:szCs w:val="22"/>
              </w:rPr>
              <w:t xml:space="preserve"> and the Auditor-</w:t>
            </w:r>
            <w:r w:rsidRPr="006372C2">
              <w:rPr>
                <w:rFonts w:ascii="Arial" w:hAnsi="Arial" w:cs="Arial"/>
                <w:sz w:val="22"/>
                <w:szCs w:val="22"/>
              </w:rPr>
              <w:t xml:space="preserve">General South Africa </w:t>
            </w:r>
            <w:r w:rsidR="00F464AB" w:rsidRPr="006372C2">
              <w:rPr>
                <w:rFonts w:ascii="Arial" w:hAnsi="Arial" w:cs="Arial"/>
                <w:sz w:val="22"/>
                <w:szCs w:val="22"/>
              </w:rPr>
              <w:t xml:space="preserve">in </w:t>
            </w:r>
            <w:r w:rsidR="000859A2">
              <w:rPr>
                <w:rFonts w:ascii="Arial" w:hAnsi="Arial" w:cs="Arial"/>
                <w:sz w:val="22"/>
                <w:szCs w:val="22"/>
              </w:rPr>
              <w:t>drafting these</w:t>
            </w:r>
            <w:r w:rsidR="004F3075" w:rsidRPr="006372C2">
              <w:rPr>
                <w:rFonts w:ascii="Arial" w:hAnsi="Arial" w:cs="Arial"/>
                <w:sz w:val="22"/>
                <w:szCs w:val="22"/>
              </w:rPr>
              <w:t xml:space="preserve"> amendment</w:t>
            </w:r>
            <w:r w:rsidR="000859A2">
              <w:rPr>
                <w:rFonts w:ascii="Arial" w:hAnsi="Arial" w:cs="Arial"/>
                <w:sz w:val="22"/>
                <w:szCs w:val="22"/>
              </w:rPr>
              <w:t>s</w:t>
            </w:r>
            <w:r w:rsidRPr="006372C2">
              <w:rPr>
                <w:rFonts w:ascii="Arial" w:hAnsi="Arial" w:cs="Arial"/>
                <w:sz w:val="22"/>
                <w:szCs w:val="22"/>
              </w:rPr>
              <w:t xml:space="preserve">, particularly with regard to the entities that fall within their jurisdiction and that, in their view, are likely to be considered to be </w:t>
            </w:r>
            <w:r w:rsidR="000859A2">
              <w:rPr>
                <w:rFonts w:ascii="Arial" w:hAnsi="Arial" w:cs="Arial"/>
                <w:sz w:val="22"/>
                <w:szCs w:val="22"/>
              </w:rPr>
              <w:t>PIEs</w:t>
            </w:r>
            <w:r w:rsidRPr="006372C2">
              <w:rPr>
                <w:rFonts w:ascii="Arial" w:hAnsi="Arial" w:cs="Arial"/>
                <w:sz w:val="22"/>
                <w:szCs w:val="22"/>
              </w:rPr>
              <w:t xml:space="preserve">. </w:t>
            </w:r>
          </w:p>
          <w:p w:rsidR="004F3075" w:rsidRPr="006372C2" w:rsidRDefault="004F3075" w:rsidP="00F464AB">
            <w:pPr>
              <w:ind w:right="246"/>
              <w:jc w:val="both"/>
              <w:rPr>
                <w:rFonts w:ascii="Arial" w:hAnsi="Arial" w:cs="Arial"/>
                <w:sz w:val="22"/>
                <w:szCs w:val="22"/>
              </w:rPr>
            </w:pPr>
          </w:p>
          <w:p w:rsidR="00F22110" w:rsidRPr="006372C2" w:rsidRDefault="00F22110" w:rsidP="0045777B">
            <w:pPr>
              <w:spacing w:after="120" w:line="280" w:lineRule="exact"/>
              <w:ind w:left="142"/>
              <w:jc w:val="both"/>
              <w:rPr>
                <w:rFonts w:cs="Arial"/>
                <w:szCs w:val="22"/>
              </w:rPr>
            </w:pPr>
            <w:r w:rsidRPr="006372C2">
              <w:rPr>
                <w:rFonts w:ascii="Arial" w:hAnsi="Arial" w:cs="Arial"/>
                <w:b/>
                <w:sz w:val="22"/>
                <w:szCs w:val="22"/>
              </w:rPr>
              <w:t>Changes in Substance</w:t>
            </w:r>
          </w:p>
          <w:p w:rsidR="00F22110" w:rsidRPr="006372C2" w:rsidRDefault="00F22110" w:rsidP="0045777B">
            <w:pPr>
              <w:spacing w:after="120" w:line="280" w:lineRule="exact"/>
              <w:ind w:left="142" w:right="246"/>
              <w:jc w:val="both"/>
              <w:rPr>
                <w:rFonts w:ascii="Arial" w:hAnsi="Arial" w:cs="Arial"/>
                <w:sz w:val="22"/>
                <w:szCs w:val="22"/>
              </w:rPr>
            </w:pPr>
            <w:r w:rsidRPr="006372C2">
              <w:rPr>
                <w:rFonts w:ascii="Arial" w:hAnsi="Arial" w:cs="Arial"/>
                <w:sz w:val="22"/>
                <w:szCs w:val="22"/>
              </w:rPr>
              <w:t>The amendments to the IRBA Code relating to</w:t>
            </w:r>
            <w:r w:rsidR="00D84E6D">
              <w:rPr>
                <w:rFonts w:ascii="Arial" w:hAnsi="Arial" w:cs="Arial"/>
                <w:sz w:val="22"/>
                <w:szCs w:val="22"/>
              </w:rPr>
              <w:t xml:space="preserve"> the</w:t>
            </w:r>
            <w:r w:rsidRPr="006372C2">
              <w:rPr>
                <w:rFonts w:ascii="Arial" w:hAnsi="Arial" w:cs="Arial"/>
                <w:sz w:val="22"/>
                <w:szCs w:val="22"/>
              </w:rPr>
              <w:t xml:space="preserve"> PIE</w:t>
            </w:r>
            <w:r w:rsidR="00D84E6D">
              <w:rPr>
                <w:rFonts w:ascii="Arial" w:hAnsi="Arial" w:cs="Arial"/>
                <w:sz w:val="22"/>
                <w:szCs w:val="22"/>
              </w:rPr>
              <w:t xml:space="preserve"> </w:t>
            </w:r>
            <w:r w:rsidR="00731067">
              <w:rPr>
                <w:rFonts w:ascii="Arial" w:hAnsi="Arial" w:cs="Arial"/>
                <w:sz w:val="22"/>
                <w:szCs w:val="22"/>
              </w:rPr>
              <w:t>definition</w:t>
            </w:r>
            <w:r w:rsidR="00D01EA1" w:rsidRPr="006372C2">
              <w:rPr>
                <w:rFonts w:ascii="Arial" w:hAnsi="Arial" w:cs="Arial"/>
                <w:sz w:val="22"/>
                <w:szCs w:val="22"/>
              </w:rPr>
              <w:t xml:space="preserve"> will allow </w:t>
            </w:r>
            <w:r w:rsidR="00BA5313" w:rsidRPr="006372C2">
              <w:rPr>
                <w:rFonts w:ascii="Arial" w:hAnsi="Arial" w:cs="Arial"/>
                <w:sz w:val="22"/>
                <w:szCs w:val="22"/>
              </w:rPr>
              <w:t>for more consistent application</w:t>
            </w:r>
            <w:r w:rsidR="00D01EA1" w:rsidRPr="006372C2">
              <w:rPr>
                <w:rFonts w:ascii="Arial" w:hAnsi="Arial" w:cs="Arial"/>
                <w:sz w:val="22"/>
                <w:szCs w:val="22"/>
              </w:rPr>
              <w:t xml:space="preserve"> by registered auditors</w:t>
            </w:r>
            <w:r w:rsidR="00BA5313" w:rsidRPr="006372C2">
              <w:rPr>
                <w:rFonts w:ascii="Arial" w:hAnsi="Arial" w:cs="Arial"/>
                <w:sz w:val="22"/>
                <w:szCs w:val="22"/>
              </w:rPr>
              <w:t>. This is al</w:t>
            </w:r>
            <w:r w:rsidR="00D01EA1" w:rsidRPr="006372C2">
              <w:rPr>
                <w:rFonts w:ascii="Arial" w:hAnsi="Arial" w:cs="Arial"/>
                <w:sz w:val="22"/>
                <w:szCs w:val="22"/>
              </w:rPr>
              <w:t xml:space="preserve">so in line with international ethical </w:t>
            </w:r>
            <w:r w:rsidR="006372C2" w:rsidRPr="006372C2">
              <w:rPr>
                <w:rFonts w:ascii="Arial" w:hAnsi="Arial" w:cs="Arial"/>
                <w:sz w:val="22"/>
                <w:szCs w:val="22"/>
              </w:rPr>
              <w:t xml:space="preserve">practices. </w:t>
            </w:r>
            <w:r w:rsidR="00BA5313" w:rsidRPr="006372C2">
              <w:rPr>
                <w:rFonts w:ascii="Arial" w:hAnsi="Arial" w:cs="Arial"/>
                <w:sz w:val="22"/>
                <w:szCs w:val="22"/>
              </w:rPr>
              <w:t xml:space="preserve">This has </w:t>
            </w:r>
            <w:r w:rsidRPr="006372C2">
              <w:rPr>
                <w:rFonts w:ascii="Arial" w:hAnsi="Arial" w:cs="Arial"/>
                <w:sz w:val="22"/>
                <w:szCs w:val="22"/>
              </w:rPr>
              <w:t xml:space="preserve">resulted in the following </w:t>
            </w:r>
            <w:r w:rsidR="00BA5313" w:rsidRPr="006372C2">
              <w:rPr>
                <w:rFonts w:ascii="Arial" w:hAnsi="Arial" w:cs="Arial"/>
                <w:sz w:val="22"/>
                <w:szCs w:val="22"/>
              </w:rPr>
              <w:t>significant</w:t>
            </w:r>
            <w:r w:rsidRPr="006372C2">
              <w:rPr>
                <w:rFonts w:ascii="Arial" w:hAnsi="Arial" w:cs="Arial"/>
                <w:sz w:val="22"/>
                <w:szCs w:val="22"/>
              </w:rPr>
              <w:t xml:space="preserve"> changes:</w:t>
            </w:r>
          </w:p>
          <w:p w:rsidR="00F22110" w:rsidRPr="006372C2" w:rsidRDefault="0045777B" w:rsidP="00F22110">
            <w:pPr>
              <w:pStyle w:val="ListParagraph"/>
              <w:numPr>
                <w:ilvl w:val="0"/>
                <w:numId w:val="20"/>
              </w:numPr>
              <w:autoSpaceDE w:val="0"/>
              <w:autoSpaceDN w:val="0"/>
              <w:adjustRightInd w:val="0"/>
              <w:ind w:right="253"/>
              <w:jc w:val="both"/>
              <w:rPr>
                <w:rFonts w:ascii="Arial" w:hAnsi="Arial" w:cs="Arial"/>
                <w:sz w:val="22"/>
                <w:szCs w:val="22"/>
              </w:rPr>
            </w:pPr>
            <w:r w:rsidRPr="006372C2">
              <w:rPr>
                <w:rFonts w:ascii="Arial" w:hAnsi="Arial" w:cs="Arial"/>
                <w:sz w:val="22"/>
                <w:szCs w:val="22"/>
              </w:rPr>
              <w:t>Providing</w:t>
            </w:r>
            <w:r w:rsidR="00F22110" w:rsidRPr="006372C2">
              <w:rPr>
                <w:rFonts w:ascii="Arial" w:hAnsi="Arial" w:cs="Arial"/>
                <w:sz w:val="22"/>
                <w:szCs w:val="22"/>
              </w:rPr>
              <w:t xml:space="preserve"> a list of entities that are likely to be considered to be PIE</w:t>
            </w:r>
            <w:r w:rsidR="007173E2">
              <w:rPr>
                <w:rFonts w:ascii="Arial" w:hAnsi="Arial" w:cs="Arial"/>
                <w:sz w:val="22"/>
                <w:szCs w:val="22"/>
              </w:rPr>
              <w:t>s</w:t>
            </w:r>
            <w:r w:rsidR="00E047CD">
              <w:rPr>
                <w:rFonts w:ascii="Arial" w:hAnsi="Arial" w:cs="Arial"/>
                <w:sz w:val="22"/>
                <w:szCs w:val="22"/>
              </w:rPr>
              <w:t>, including</w:t>
            </w:r>
            <w:r w:rsidR="001D523A" w:rsidRPr="006372C2">
              <w:rPr>
                <w:rFonts w:ascii="Arial" w:hAnsi="Arial" w:cs="Arial"/>
                <w:sz w:val="22"/>
                <w:szCs w:val="22"/>
              </w:rPr>
              <w:t xml:space="preserve"> </w:t>
            </w:r>
            <w:r w:rsidR="00F22110" w:rsidRPr="006372C2">
              <w:rPr>
                <w:rFonts w:ascii="Arial" w:hAnsi="Arial" w:cs="Arial"/>
                <w:sz w:val="22"/>
                <w:szCs w:val="22"/>
              </w:rPr>
              <w:t>thresholds for certain</w:t>
            </w:r>
            <w:r w:rsidR="001D523A" w:rsidRPr="006372C2">
              <w:rPr>
                <w:rFonts w:ascii="Arial" w:hAnsi="Arial" w:cs="Arial"/>
                <w:sz w:val="22"/>
                <w:szCs w:val="22"/>
              </w:rPr>
              <w:t xml:space="preserve"> regulated</w:t>
            </w:r>
            <w:r w:rsidR="00F22110" w:rsidRPr="006372C2">
              <w:rPr>
                <w:rFonts w:ascii="Arial" w:hAnsi="Arial" w:cs="Arial"/>
                <w:sz w:val="22"/>
                <w:szCs w:val="22"/>
              </w:rPr>
              <w:t xml:space="preserve"> entities;</w:t>
            </w:r>
          </w:p>
          <w:p w:rsidR="00F22110" w:rsidRPr="006372C2" w:rsidRDefault="0045777B" w:rsidP="00F22110">
            <w:pPr>
              <w:pStyle w:val="ListParagraph"/>
              <w:numPr>
                <w:ilvl w:val="0"/>
                <w:numId w:val="20"/>
              </w:numPr>
              <w:autoSpaceDE w:val="0"/>
              <w:autoSpaceDN w:val="0"/>
              <w:adjustRightInd w:val="0"/>
              <w:ind w:right="253"/>
              <w:jc w:val="both"/>
              <w:rPr>
                <w:rFonts w:ascii="Arial" w:hAnsi="Arial" w:cs="Arial"/>
                <w:sz w:val="22"/>
                <w:szCs w:val="22"/>
              </w:rPr>
            </w:pPr>
            <w:r w:rsidRPr="006372C2">
              <w:rPr>
                <w:rFonts w:ascii="Arial" w:hAnsi="Arial" w:cs="Arial"/>
                <w:sz w:val="22"/>
                <w:szCs w:val="22"/>
              </w:rPr>
              <w:t>Clarifying</w:t>
            </w:r>
            <w:r w:rsidR="001D523A" w:rsidRPr="006372C2">
              <w:rPr>
                <w:rFonts w:ascii="Arial" w:hAnsi="Arial" w:cs="Arial"/>
                <w:sz w:val="22"/>
                <w:szCs w:val="22"/>
              </w:rPr>
              <w:t xml:space="preserve"> that it is the </w:t>
            </w:r>
            <w:r w:rsidR="00CD7B0B">
              <w:rPr>
                <w:rFonts w:ascii="Arial" w:hAnsi="Arial" w:cs="Arial"/>
                <w:sz w:val="22"/>
                <w:szCs w:val="22"/>
              </w:rPr>
              <w:t>firmˈ</w:t>
            </w:r>
            <w:r w:rsidR="00F22110" w:rsidRPr="006372C2">
              <w:rPr>
                <w:rFonts w:ascii="Arial" w:hAnsi="Arial" w:cs="Arial"/>
                <w:sz w:val="22"/>
                <w:szCs w:val="22"/>
              </w:rPr>
              <w:t xml:space="preserve">s responsibility to consider if an audit or review client is a PIE; </w:t>
            </w:r>
            <w:r w:rsidR="00BA5313" w:rsidRPr="006372C2">
              <w:rPr>
                <w:rFonts w:ascii="Arial" w:hAnsi="Arial" w:cs="Arial"/>
                <w:sz w:val="22"/>
                <w:szCs w:val="22"/>
              </w:rPr>
              <w:t>and</w:t>
            </w:r>
          </w:p>
          <w:p w:rsidR="00F22110" w:rsidRPr="006372C2" w:rsidRDefault="0045777B" w:rsidP="00F22110">
            <w:pPr>
              <w:pStyle w:val="ListParagraph"/>
              <w:numPr>
                <w:ilvl w:val="0"/>
                <w:numId w:val="20"/>
              </w:numPr>
              <w:autoSpaceDE w:val="0"/>
              <w:autoSpaceDN w:val="0"/>
              <w:adjustRightInd w:val="0"/>
              <w:ind w:right="253"/>
              <w:jc w:val="both"/>
              <w:rPr>
                <w:rFonts w:ascii="Arial" w:hAnsi="Arial" w:cs="Arial"/>
                <w:sz w:val="22"/>
                <w:szCs w:val="22"/>
              </w:rPr>
            </w:pPr>
            <w:r w:rsidRPr="006372C2">
              <w:rPr>
                <w:rFonts w:ascii="Arial" w:hAnsi="Arial" w:cs="Arial"/>
                <w:sz w:val="22"/>
                <w:szCs w:val="22"/>
              </w:rPr>
              <w:t>Allowance</w:t>
            </w:r>
            <w:r w:rsidR="00F22110" w:rsidRPr="006372C2">
              <w:rPr>
                <w:rFonts w:ascii="Arial" w:hAnsi="Arial" w:cs="Arial"/>
                <w:sz w:val="22"/>
                <w:szCs w:val="22"/>
              </w:rPr>
              <w:t xml:space="preserve"> for an opportunity for a firm to consider the client not to be a PIE and the requirement for the firm to document the reaso</w:t>
            </w:r>
            <w:r w:rsidR="00E047CD">
              <w:rPr>
                <w:rFonts w:ascii="Arial" w:hAnsi="Arial" w:cs="Arial"/>
                <w:sz w:val="22"/>
                <w:szCs w:val="22"/>
              </w:rPr>
              <w:t>ns (the rebuttable presumption)</w:t>
            </w:r>
            <w:r w:rsidR="005A0655">
              <w:rPr>
                <w:rFonts w:ascii="Arial" w:hAnsi="Arial" w:cs="Arial"/>
                <w:sz w:val="22"/>
                <w:szCs w:val="22"/>
              </w:rPr>
              <w:t xml:space="preserve"> for such a decision</w:t>
            </w:r>
            <w:r w:rsidR="00E047CD">
              <w:rPr>
                <w:rFonts w:ascii="Arial" w:hAnsi="Arial" w:cs="Arial"/>
                <w:sz w:val="22"/>
                <w:szCs w:val="22"/>
              </w:rPr>
              <w:t>.</w:t>
            </w:r>
          </w:p>
          <w:p w:rsidR="001D523A" w:rsidRPr="006372C2" w:rsidRDefault="001D523A" w:rsidP="0045777B">
            <w:pPr>
              <w:pStyle w:val="ListParagraph"/>
              <w:autoSpaceDE w:val="0"/>
              <w:autoSpaceDN w:val="0"/>
              <w:adjustRightInd w:val="0"/>
              <w:ind w:left="888" w:right="253"/>
              <w:jc w:val="both"/>
              <w:rPr>
                <w:rFonts w:ascii="Arial" w:hAnsi="Arial" w:cs="Arial"/>
                <w:sz w:val="22"/>
                <w:szCs w:val="22"/>
              </w:rPr>
            </w:pPr>
          </w:p>
          <w:p w:rsidR="00D01EA1" w:rsidRPr="006372C2" w:rsidRDefault="000859A2" w:rsidP="00D01EA1">
            <w:pPr>
              <w:spacing w:after="120" w:line="280" w:lineRule="exact"/>
              <w:ind w:left="142"/>
              <w:jc w:val="both"/>
              <w:rPr>
                <w:rFonts w:ascii="Arial" w:hAnsi="Arial" w:cs="Arial"/>
                <w:b/>
                <w:sz w:val="22"/>
                <w:szCs w:val="22"/>
              </w:rPr>
            </w:pPr>
            <w:r>
              <w:rPr>
                <w:rFonts w:ascii="Arial" w:hAnsi="Arial" w:cs="Arial"/>
                <w:b/>
                <w:sz w:val="22"/>
                <w:szCs w:val="22"/>
              </w:rPr>
              <w:t xml:space="preserve">Changes </w:t>
            </w:r>
            <w:r w:rsidR="007173E2">
              <w:rPr>
                <w:rFonts w:ascii="Arial" w:hAnsi="Arial" w:cs="Arial"/>
                <w:b/>
                <w:sz w:val="22"/>
                <w:szCs w:val="22"/>
              </w:rPr>
              <w:t xml:space="preserve">Made Since </w:t>
            </w:r>
            <w:r>
              <w:rPr>
                <w:rFonts w:ascii="Arial" w:hAnsi="Arial" w:cs="Arial"/>
                <w:b/>
                <w:sz w:val="22"/>
                <w:szCs w:val="22"/>
              </w:rPr>
              <w:t>the Exposure D</w:t>
            </w:r>
            <w:r w:rsidR="00D01EA1" w:rsidRPr="006372C2">
              <w:rPr>
                <w:rFonts w:ascii="Arial" w:hAnsi="Arial" w:cs="Arial"/>
                <w:b/>
                <w:sz w:val="22"/>
                <w:szCs w:val="22"/>
              </w:rPr>
              <w:t>raft</w:t>
            </w:r>
          </w:p>
          <w:p w:rsidR="0045777B" w:rsidRPr="006372C2" w:rsidRDefault="00853A64" w:rsidP="0045777B">
            <w:pPr>
              <w:autoSpaceDE w:val="0"/>
              <w:autoSpaceDN w:val="0"/>
              <w:adjustRightInd w:val="0"/>
              <w:ind w:left="142" w:right="253"/>
              <w:jc w:val="both"/>
              <w:rPr>
                <w:rFonts w:ascii="Arial" w:hAnsi="Arial" w:cs="Arial"/>
                <w:sz w:val="22"/>
                <w:szCs w:val="22"/>
              </w:rPr>
            </w:pPr>
            <w:r w:rsidRPr="006372C2">
              <w:rPr>
                <w:rFonts w:ascii="Arial" w:hAnsi="Arial" w:cs="Arial"/>
                <w:sz w:val="22"/>
                <w:szCs w:val="22"/>
              </w:rPr>
              <w:t xml:space="preserve">Comments received </w:t>
            </w:r>
            <w:r w:rsidR="005A0655">
              <w:rPr>
                <w:rFonts w:ascii="Arial" w:hAnsi="Arial" w:cs="Arial"/>
                <w:sz w:val="22"/>
                <w:szCs w:val="22"/>
              </w:rPr>
              <w:t>were considered and after</w:t>
            </w:r>
            <w:r w:rsidR="0045777B" w:rsidRPr="006372C2">
              <w:rPr>
                <w:rFonts w:ascii="Arial" w:hAnsi="Arial" w:cs="Arial"/>
                <w:sz w:val="22"/>
                <w:szCs w:val="22"/>
              </w:rPr>
              <w:t xml:space="preserve"> consultation with the various </w:t>
            </w:r>
            <w:r w:rsidR="00BA5313" w:rsidRPr="006372C2">
              <w:rPr>
                <w:rFonts w:ascii="Arial" w:hAnsi="Arial" w:cs="Arial"/>
                <w:sz w:val="22"/>
                <w:szCs w:val="22"/>
              </w:rPr>
              <w:t>regulators</w:t>
            </w:r>
            <w:r w:rsidR="0045777B" w:rsidRPr="006372C2">
              <w:rPr>
                <w:rFonts w:ascii="Arial" w:hAnsi="Arial" w:cs="Arial"/>
                <w:sz w:val="22"/>
                <w:szCs w:val="22"/>
              </w:rPr>
              <w:t xml:space="preserve"> the following</w:t>
            </w:r>
            <w:r w:rsidR="005A0655">
              <w:rPr>
                <w:rFonts w:ascii="Arial" w:hAnsi="Arial" w:cs="Arial"/>
                <w:sz w:val="22"/>
                <w:szCs w:val="22"/>
              </w:rPr>
              <w:t xml:space="preserve"> salient</w:t>
            </w:r>
            <w:r w:rsidR="0045777B" w:rsidRPr="006372C2">
              <w:rPr>
                <w:rFonts w:ascii="Arial" w:hAnsi="Arial" w:cs="Arial"/>
                <w:sz w:val="22"/>
                <w:szCs w:val="22"/>
              </w:rPr>
              <w:t xml:space="preserve"> amendments</w:t>
            </w:r>
            <w:r w:rsidR="00E047CD">
              <w:rPr>
                <w:rFonts w:ascii="Arial" w:hAnsi="Arial" w:cs="Arial"/>
                <w:sz w:val="22"/>
                <w:szCs w:val="22"/>
              </w:rPr>
              <w:t xml:space="preserve"> have been made</w:t>
            </w:r>
            <w:r w:rsidR="0045777B" w:rsidRPr="006372C2">
              <w:rPr>
                <w:rFonts w:ascii="Arial" w:hAnsi="Arial" w:cs="Arial"/>
                <w:sz w:val="22"/>
                <w:szCs w:val="22"/>
              </w:rPr>
              <w:t xml:space="preserve"> </w:t>
            </w:r>
            <w:r w:rsidR="00BA5313" w:rsidRPr="006372C2">
              <w:rPr>
                <w:rFonts w:ascii="Arial" w:hAnsi="Arial" w:cs="Arial"/>
                <w:sz w:val="22"/>
                <w:szCs w:val="22"/>
              </w:rPr>
              <w:t>since the release of</w:t>
            </w:r>
            <w:r w:rsidR="0045777B" w:rsidRPr="006372C2">
              <w:rPr>
                <w:rFonts w:ascii="Arial" w:hAnsi="Arial" w:cs="Arial"/>
                <w:sz w:val="22"/>
                <w:szCs w:val="22"/>
              </w:rPr>
              <w:t xml:space="preserve"> the</w:t>
            </w:r>
            <w:r w:rsidR="00BA5313" w:rsidRPr="006372C2">
              <w:rPr>
                <w:rFonts w:ascii="Arial" w:hAnsi="Arial" w:cs="Arial"/>
                <w:sz w:val="22"/>
                <w:szCs w:val="22"/>
              </w:rPr>
              <w:t xml:space="preserve"> PIE</w:t>
            </w:r>
            <w:r w:rsidR="0045777B" w:rsidRPr="006372C2">
              <w:rPr>
                <w:rFonts w:ascii="Arial" w:hAnsi="Arial" w:cs="Arial"/>
                <w:sz w:val="22"/>
                <w:szCs w:val="22"/>
              </w:rPr>
              <w:t xml:space="preserve"> </w:t>
            </w:r>
            <w:r w:rsidR="007173E2">
              <w:rPr>
                <w:rFonts w:ascii="Arial" w:hAnsi="Arial" w:cs="Arial"/>
                <w:sz w:val="22"/>
                <w:szCs w:val="22"/>
              </w:rPr>
              <w:t>e</w:t>
            </w:r>
            <w:r w:rsidR="0045777B" w:rsidRPr="006372C2">
              <w:rPr>
                <w:rFonts w:ascii="Arial" w:hAnsi="Arial" w:cs="Arial"/>
                <w:sz w:val="22"/>
                <w:szCs w:val="22"/>
              </w:rPr>
              <w:t xml:space="preserve">xposure </w:t>
            </w:r>
            <w:r w:rsidR="007173E2">
              <w:rPr>
                <w:rFonts w:ascii="Arial" w:hAnsi="Arial" w:cs="Arial"/>
                <w:sz w:val="22"/>
                <w:szCs w:val="22"/>
              </w:rPr>
              <w:t>d</w:t>
            </w:r>
            <w:r w:rsidR="0045777B" w:rsidRPr="006372C2">
              <w:rPr>
                <w:rFonts w:ascii="Arial" w:hAnsi="Arial" w:cs="Arial"/>
                <w:sz w:val="22"/>
                <w:szCs w:val="22"/>
              </w:rPr>
              <w:t>raft:</w:t>
            </w:r>
          </w:p>
          <w:p w:rsidR="00D01EA1" w:rsidRDefault="00D01EA1" w:rsidP="0045777B">
            <w:pPr>
              <w:pStyle w:val="ListParagraph"/>
              <w:numPr>
                <w:ilvl w:val="0"/>
                <w:numId w:val="23"/>
              </w:numPr>
              <w:autoSpaceDE w:val="0"/>
              <w:autoSpaceDN w:val="0"/>
              <w:adjustRightInd w:val="0"/>
              <w:ind w:right="253"/>
              <w:jc w:val="both"/>
              <w:rPr>
                <w:rFonts w:ascii="Arial" w:hAnsi="Arial" w:cs="Arial"/>
                <w:sz w:val="22"/>
                <w:szCs w:val="22"/>
              </w:rPr>
            </w:pPr>
            <w:r w:rsidRPr="006372C2">
              <w:rPr>
                <w:rFonts w:ascii="Arial" w:hAnsi="Arial" w:cs="Arial"/>
                <w:sz w:val="22"/>
                <w:szCs w:val="22"/>
              </w:rPr>
              <w:t xml:space="preserve">The addition of the </w:t>
            </w:r>
            <w:r w:rsidR="007173E2">
              <w:rPr>
                <w:rFonts w:ascii="Arial" w:hAnsi="Arial" w:cs="Arial"/>
                <w:sz w:val="22"/>
                <w:szCs w:val="22"/>
              </w:rPr>
              <w:t>m</w:t>
            </w:r>
            <w:r w:rsidRPr="006372C2">
              <w:rPr>
                <w:rFonts w:ascii="Arial" w:hAnsi="Arial" w:cs="Arial"/>
                <w:sz w:val="22"/>
                <w:szCs w:val="22"/>
              </w:rPr>
              <w:t xml:space="preserve">arket </w:t>
            </w:r>
            <w:r w:rsidR="007173E2">
              <w:rPr>
                <w:rFonts w:ascii="Arial" w:hAnsi="Arial" w:cs="Arial"/>
                <w:sz w:val="22"/>
                <w:szCs w:val="22"/>
              </w:rPr>
              <w:t>i</w:t>
            </w:r>
            <w:r w:rsidRPr="006372C2">
              <w:rPr>
                <w:rFonts w:ascii="Arial" w:hAnsi="Arial" w:cs="Arial"/>
                <w:sz w:val="22"/>
                <w:szCs w:val="22"/>
              </w:rPr>
              <w:t xml:space="preserve">nfrastructure and </w:t>
            </w:r>
            <w:r w:rsidR="007173E2">
              <w:rPr>
                <w:rFonts w:ascii="Arial" w:hAnsi="Arial" w:cs="Arial"/>
                <w:sz w:val="22"/>
                <w:szCs w:val="22"/>
              </w:rPr>
              <w:t>p</w:t>
            </w:r>
            <w:r w:rsidRPr="006372C2">
              <w:rPr>
                <w:rFonts w:ascii="Arial" w:hAnsi="Arial" w:cs="Arial"/>
                <w:sz w:val="22"/>
                <w:szCs w:val="22"/>
              </w:rPr>
              <w:t xml:space="preserve">ension </w:t>
            </w:r>
            <w:r w:rsidR="007173E2">
              <w:rPr>
                <w:rFonts w:ascii="Arial" w:hAnsi="Arial" w:cs="Arial"/>
                <w:sz w:val="22"/>
                <w:szCs w:val="22"/>
              </w:rPr>
              <w:t>f</w:t>
            </w:r>
            <w:r w:rsidRPr="006372C2">
              <w:rPr>
                <w:rFonts w:ascii="Arial" w:hAnsi="Arial" w:cs="Arial"/>
                <w:sz w:val="22"/>
                <w:szCs w:val="22"/>
              </w:rPr>
              <w:t xml:space="preserve">und </w:t>
            </w:r>
            <w:r w:rsidR="007173E2">
              <w:rPr>
                <w:rFonts w:ascii="Arial" w:hAnsi="Arial" w:cs="Arial"/>
                <w:sz w:val="22"/>
                <w:szCs w:val="22"/>
              </w:rPr>
              <w:t>a</w:t>
            </w:r>
            <w:r w:rsidRPr="006372C2">
              <w:rPr>
                <w:rFonts w:ascii="Arial" w:hAnsi="Arial" w:cs="Arial"/>
                <w:sz w:val="22"/>
                <w:szCs w:val="22"/>
              </w:rPr>
              <w:t>dministrators to the list of entities presumed to be PIE</w:t>
            </w:r>
            <w:r w:rsidR="00E047CD">
              <w:rPr>
                <w:rFonts w:ascii="Arial" w:hAnsi="Arial" w:cs="Arial"/>
                <w:sz w:val="22"/>
                <w:szCs w:val="22"/>
              </w:rPr>
              <w:t>s</w:t>
            </w:r>
            <w:r w:rsidRPr="006372C2">
              <w:rPr>
                <w:rFonts w:ascii="Arial" w:hAnsi="Arial" w:cs="Arial"/>
                <w:sz w:val="22"/>
                <w:szCs w:val="22"/>
              </w:rPr>
              <w:t>;</w:t>
            </w:r>
          </w:p>
          <w:p w:rsidR="00E047CD" w:rsidRPr="00E047CD" w:rsidRDefault="00E047CD" w:rsidP="00E047CD">
            <w:pPr>
              <w:pStyle w:val="ListParagraph"/>
              <w:numPr>
                <w:ilvl w:val="0"/>
                <w:numId w:val="23"/>
              </w:numPr>
              <w:autoSpaceDE w:val="0"/>
              <w:autoSpaceDN w:val="0"/>
              <w:adjustRightInd w:val="0"/>
              <w:ind w:right="253"/>
              <w:jc w:val="both"/>
              <w:rPr>
                <w:rFonts w:ascii="Arial" w:hAnsi="Arial" w:cs="Arial"/>
                <w:sz w:val="22"/>
                <w:szCs w:val="22"/>
              </w:rPr>
            </w:pPr>
            <w:r w:rsidRPr="006372C2">
              <w:rPr>
                <w:rFonts w:ascii="Arial" w:hAnsi="Arial" w:cs="Arial"/>
                <w:sz w:val="22"/>
                <w:szCs w:val="22"/>
              </w:rPr>
              <w:t xml:space="preserve">Introduction of </w:t>
            </w:r>
            <w:r w:rsidR="007173E2">
              <w:rPr>
                <w:rFonts w:ascii="Arial" w:hAnsi="Arial" w:cs="Arial"/>
                <w:sz w:val="22"/>
                <w:szCs w:val="22"/>
              </w:rPr>
              <w:t>t</w:t>
            </w:r>
            <w:r w:rsidRPr="006372C2">
              <w:rPr>
                <w:rFonts w:ascii="Arial" w:hAnsi="Arial" w:cs="Arial"/>
                <w:sz w:val="22"/>
                <w:szCs w:val="22"/>
              </w:rPr>
              <w:t xml:space="preserve">hresholds to </w:t>
            </w:r>
            <w:r w:rsidR="007173E2">
              <w:rPr>
                <w:rFonts w:ascii="Arial" w:hAnsi="Arial" w:cs="Arial"/>
                <w:sz w:val="22"/>
                <w:szCs w:val="22"/>
              </w:rPr>
              <w:t>c</w:t>
            </w:r>
            <w:r w:rsidRPr="006372C2">
              <w:rPr>
                <w:rFonts w:ascii="Arial" w:hAnsi="Arial" w:cs="Arial"/>
                <w:sz w:val="22"/>
                <w:szCs w:val="22"/>
              </w:rPr>
              <w:t xml:space="preserve">ollective </w:t>
            </w:r>
            <w:r w:rsidR="007173E2">
              <w:rPr>
                <w:rFonts w:ascii="Arial" w:hAnsi="Arial" w:cs="Arial"/>
                <w:sz w:val="22"/>
                <w:szCs w:val="22"/>
              </w:rPr>
              <w:t>i</w:t>
            </w:r>
            <w:r w:rsidRPr="006372C2">
              <w:rPr>
                <w:rFonts w:ascii="Arial" w:hAnsi="Arial" w:cs="Arial"/>
                <w:sz w:val="22"/>
                <w:szCs w:val="22"/>
              </w:rPr>
              <w:t xml:space="preserve">nvestment </w:t>
            </w:r>
            <w:r w:rsidR="007173E2">
              <w:rPr>
                <w:rFonts w:ascii="Arial" w:hAnsi="Arial" w:cs="Arial"/>
                <w:sz w:val="22"/>
                <w:szCs w:val="22"/>
              </w:rPr>
              <w:t>s</w:t>
            </w:r>
            <w:r w:rsidRPr="006372C2">
              <w:rPr>
                <w:rFonts w:ascii="Arial" w:hAnsi="Arial" w:cs="Arial"/>
                <w:sz w:val="22"/>
                <w:szCs w:val="22"/>
              </w:rPr>
              <w:t xml:space="preserve">chemes, </w:t>
            </w:r>
            <w:r w:rsidR="007173E2">
              <w:rPr>
                <w:rFonts w:ascii="Arial" w:hAnsi="Arial" w:cs="Arial"/>
                <w:sz w:val="22"/>
                <w:szCs w:val="22"/>
              </w:rPr>
              <w:t>p</w:t>
            </w:r>
            <w:r w:rsidRPr="006372C2">
              <w:rPr>
                <w:rFonts w:ascii="Arial" w:hAnsi="Arial" w:cs="Arial"/>
                <w:sz w:val="22"/>
                <w:szCs w:val="22"/>
              </w:rPr>
              <w:t xml:space="preserve">ension </w:t>
            </w:r>
            <w:r w:rsidR="007173E2">
              <w:rPr>
                <w:rFonts w:ascii="Arial" w:hAnsi="Arial" w:cs="Arial"/>
                <w:sz w:val="22"/>
                <w:szCs w:val="22"/>
              </w:rPr>
              <w:t>f</w:t>
            </w:r>
            <w:r w:rsidRPr="006372C2">
              <w:rPr>
                <w:rFonts w:ascii="Arial" w:hAnsi="Arial" w:cs="Arial"/>
                <w:sz w:val="22"/>
                <w:szCs w:val="22"/>
              </w:rPr>
              <w:t xml:space="preserve">und </w:t>
            </w:r>
            <w:r w:rsidR="007173E2">
              <w:rPr>
                <w:rFonts w:ascii="Arial" w:hAnsi="Arial" w:cs="Arial"/>
                <w:sz w:val="22"/>
                <w:szCs w:val="22"/>
              </w:rPr>
              <w:t>a</w:t>
            </w:r>
            <w:r w:rsidRPr="006372C2">
              <w:rPr>
                <w:rFonts w:ascii="Arial" w:hAnsi="Arial" w:cs="Arial"/>
                <w:sz w:val="22"/>
                <w:szCs w:val="22"/>
              </w:rPr>
              <w:t xml:space="preserve">dministrators and </w:t>
            </w:r>
            <w:r w:rsidR="007173E2">
              <w:rPr>
                <w:rFonts w:ascii="Arial" w:hAnsi="Arial" w:cs="Arial"/>
                <w:sz w:val="22"/>
                <w:szCs w:val="22"/>
              </w:rPr>
              <w:t>f</w:t>
            </w:r>
            <w:r w:rsidRPr="006372C2">
              <w:rPr>
                <w:rFonts w:ascii="Arial" w:hAnsi="Arial" w:cs="Arial"/>
                <w:sz w:val="22"/>
                <w:szCs w:val="22"/>
              </w:rPr>
              <w:t xml:space="preserve">inancial </w:t>
            </w:r>
            <w:r w:rsidR="007173E2">
              <w:rPr>
                <w:rFonts w:ascii="Arial" w:hAnsi="Arial" w:cs="Arial"/>
                <w:sz w:val="22"/>
                <w:szCs w:val="22"/>
              </w:rPr>
              <w:t>s</w:t>
            </w:r>
            <w:r w:rsidRPr="006372C2">
              <w:rPr>
                <w:rFonts w:ascii="Arial" w:hAnsi="Arial" w:cs="Arial"/>
                <w:sz w:val="22"/>
                <w:szCs w:val="22"/>
              </w:rPr>
              <w:t xml:space="preserve">ervice </w:t>
            </w:r>
            <w:r w:rsidR="007173E2">
              <w:rPr>
                <w:rFonts w:ascii="Arial" w:hAnsi="Arial" w:cs="Arial"/>
                <w:sz w:val="22"/>
                <w:szCs w:val="22"/>
              </w:rPr>
              <w:t>p</w:t>
            </w:r>
            <w:r w:rsidRPr="006372C2">
              <w:rPr>
                <w:rFonts w:ascii="Arial" w:hAnsi="Arial" w:cs="Arial"/>
                <w:sz w:val="22"/>
                <w:szCs w:val="22"/>
              </w:rPr>
              <w:t>roviders;</w:t>
            </w:r>
          </w:p>
          <w:p w:rsidR="00BA5313" w:rsidRPr="006372C2" w:rsidRDefault="005A0655" w:rsidP="00E047CD">
            <w:pPr>
              <w:pStyle w:val="ListParagraph"/>
              <w:numPr>
                <w:ilvl w:val="0"/>
                <w:numId w:val="23"/>
              </w:numPr>
              <w:autoSpaceDE w:val="0"/>
              <w:autoSpaceDN w:val="0"/>
              <w:adjustRightInd w:val="0"/>
              <w:ind w:right="253"/>
              <w:jc w:val="both"/>
              <w:rPr>
                <w:rFonts w:ascii="Arial" w:hAnsi="Arial" w:cs="Arial"/>
                <w:sz w:val="22"/>
                <w:szCs w:val="22"/>
              </w:rPr>
            </w:pPr>
            <w:r>
              <w:rPr>
                <w:rFonts w:ascii="Arial" w:hAnsi="Arial" w:cs="Arial"/>
                <w:sz w:val="22"/>
                <w:szCs w:val="22"/>
              </w:rPr>
              <w:t>A new determination of</w:t>
            </w:r>
            <w:r w:rsidR="00D01EA1" w:rsidRPr="006372C2">
              <w:rPr>
                <w:rFonts w:ascii="Arial" w:hAnsi="Arial" w:cs="Arial"/>
                <w:sz w:val="22"/>
                <w:szCs w:val="22"/>
              </w:rPr>
              <w:t xml:space="preserve"> the threshold </w:t>
            </w:r>
            <w:r w:rsidR="00E047CD">
              <w:rPr>
                <w:rFonts w:ascii="Arial" w:hAnsi="Arial" w:cs="Arial"/>
                <w:sz w:val="22"/>
                <w:szCs w:val="22"/>
              </w:rPr>
              <w:t xml:space="preserve">provided for </w:t>
            </w:r>
            <w:r w:rsidR="007173E2">
              <w:rPr>
                <w:rFonts w:ascii="Arial" w:hAnsi="Arial" w:cs="Arial"/>
                <w:sz w:val="22"/>
                <w:szCs w:val="22"/>
              </w:rPr>
              <w:t>p</w:t>
            </w:r>
            <w:r w:rsidR="00E047CD">
              <w:rPr>
                <w:rFonts w:ascii="Arial" w:hAnsi="Arial" w:cs="Arial"/>
                <w:sz w:val="22"/>
                <w:szCs w:val="22"/>
              </w:rPr>
              <w:t xml:space="preserve">ension </w:t>
            </w:r>
            <w:r w:rsidR="007173E2">
              <w:rPr>
                <w:rFonts w:ascii="Arial" w:hAnsi="Arial" w:cs="Arial"/>
                <w:sz w:val="22"/>
                <w:szCs w:val="22"/>
              </w:rPr>
              <w:t>f</w:t>
            </w:r>
            <w:r w:rsidR="00E047CD">
              <w:rPr>
                <w:rFonts w:ascii="Arial" w:hAnsi="Arial" w:cs="Arial"/>
                <w:sz w:val="22"/>
                <w:szCs w:val="22"/>
              </w:rPr>
              <w:t>unds;</w:t>
            </w:r>
            <w:r w:rsidR="007173E2">
              <w:rPr>
                <w:rFonts w:ascii="Arial" w:hAnsi="Arial" w:cs="Arial"/>
                <w:sz w:val="22"/>
                <w:szCs w:val="22"/>
              </w:rPr>
              <w:t xml:space="preserve"> </w:t>
            </w:r>
            <w:r w:rsidR="00D01EA1" w:rsidRPr="006372C2">
              <w:rPr>
                <w:rFonts w:ascii="Arial" w:hAnsi="Arial" w:cs="Arial"/>
                <w:sz w:val="22"/>
                <w:szCs w:val="22"/>
              </w:rPr>
              <w:t>and</w:t>
            </w:r>
          </w:p>
          <w:p w:rsidR="008F6B79" w:rsidRPr="006372C2" w:rsidRDefault="00D01EA1" w:rsidP="00BA5313">
            <w:pPr>
              <w:pStyle w:val="ListParagraph"/>
              <w:numPr>
                <w:ilvl w:val="0"/>
                <w:numId w:val="23"/>
              </w:numPr>
              <w:autoSpaceDE w:val="0"/>
              <w:autoSpaceDN w:val="0"/>
              <w:adjustRightInd w:val="0"/>
              <w:ind w:right="253"/>
              <w:jc w:val="both"/>
              <w:rPr>
                <w:rFonts w:ascii="Arial" w:hAnsi="Arial" w:cs="Arial"/>
                <w:sz w:val="22"/>
                <w:szCs w:val="22"/>
              </w:rPr>
            </w:pPr>
            <w:r w:rsidRPr="006372C2">
              <w:rPr>
                <w:rFonts w:ascii="Arial" w:hAnsi="Arial" w:cs="Arial"/>
                <w:sz w:val="22"/>
                <w:szCs w:val="22"/>
              </w:rPr>
              <w:t>C</w:t>
            </w:r>
            <w:r w:rsidR="00BA5313" w:rsidRPr="006372C2">
              <w:rPr>
                <w:rFonts w:ascii="Arial" w:hAnsi="Arial" w:cs="Arial"/>
                <w:sz w:val="22"/>
                <w:szCs w:val="22"/>
              </w:rPr>
              <w:t>hange</w:t>
            </w:r>
            <w:r w:rsidRPr="006372C2">
              <w:rPr>
                <w:rFonts w:ascii="Arial" w:hAnsi="Arial" w:cs="Arial"/>
                <w:sz w:val="22"/>
                <w:szCs w:val="22"/>
              </w:rPr>
              <w:t xml:space="preserve">s to </w:t>
            </w:r>
            <w:r w:rsidR="000859A2">
              <w:rPr>
                <w:rFonts w:ascii="Arial" w:hAnsi="Arial" w:cs="Arial"/>
                <w:sz w:val="22"/>
                <w:szCs w:val="22"/>
              </w:rPr>
              <w:t>the description of</w:t>
            </w:r>
            <w:r w:rsidRPr="006372C2">
              <w:rPr>
                <w:rFonts w:ascii="Arial" w:hAnsi="Arial" w:cs="Arial"/>
                <w:sz w:val="22"/>
                <w:szCs w:val="22"/>
              </w:rPr>
              <w:t xml:space="preserve"> </w:t>
            </w:r>
            <w:r w:rsidR="007173E2">
              <w:rPr>
                <w:rFonts w:ascii="Arial" w:hAnsi="Arial" w:cs="Arial"/>
                <w:sz w:val="22"/>
                <w:szCs w:val="22"/>
              </w:rPr>
              <w:t>m</w:t>
            </w:r>
            <w:r w:rsidRPr="006372C2">
              <w:rPr>
                <w:rFonts w:ascii="Arial" w:hAnsi="Arial" w:cs="Arial"/>
                <w:sz w:val="22"/>
                <w:szCs w:val="22"/>
              </w:rPr>
              <w:t xml:space="preserve">edical </w:t>
            </w:r>
            <w:r w:rsidR="007173E2">
              <w:rPr>
                <w:rFonts w:ascii="Arial" w:hAnsi="Arial" w:cs="Arial"/>
                <w:sz w:val="22"/>
                <w:szCs w:val="22"/>
              </w:rPr>
              <w:t>a</w:t>
            </w:r>
            <w:r w:rsidRPr="006372C2">
              <w:rPr>
                <w:rFonts w:ascii="Arial" w:hAnsi="Arial" w:cs="Arial"/>
                <w:sz w:val="22"/>
                <w:szCs w:val="22"/>
              </w:rPr>
              <w:t xml:space="preserve">id </w:t>
            </w:r>
            <w:r w:rsidR="007173E2">
              <w:rPr>
                <w:rFonts w:ascii="Arial" w:hAnsi="Arial" w:cs="Arial"/>
                <w:sz w:val="22"/>
                <w:szCs w:val="22"/>
              </w:rPr>
              <w:t>s</w:t>
            </w:r>
            <w:r w:rsidRPr="006372C2">
              <w:rPr>
                <w:rFonts w:ascii="Arial" w:hAnsi="Arial" w:cs="Arial"/>
                <w:sz w:val="22"/>
                <w:szCs w:val="22"/>
              </w:rPr>
              <w:t>chemes that would be presumed to be PIEs.</w:t>
            </w:r>
          </w:p>
          <w:p w:rsidR="008F6B79" w:rsidRPr="006372C2" w:rsidRDefault="008F6B79" w:rsidP="00873E5B">
            <w:pPr>
              <w:autoSpaceDE w:val="0"/>
              <w:autoSpaceDN w:val="0"/>
              <w:adjustRightInd w:val="0"/>
              <w:spacing w:after="120" w:line="271" w:lineRule="auto"/>
              <w:jc w:val="both"/>
              <w:rPr>
                <w:rFonts w:ascii="Arial" w:hAnsi="Arial" w:cs="Arial"/>
                <w:sz w:val="22"/>
                <w:szCs w:val="22"/>
              </w:rPr>
            </w:pPr>
          </w:p>
          <w:p w:rsidR="00F22110" w:rsidRPr="005A0655" w:rsidRDefault="00873E5B" w:rsidP="005A0655">
            <w:pPr>
              <w:autoSpaceDE w:val="0"/>
              <w:autoSpaceDN w:val="0"/>
              <w:adjustRightInd w:val="0"/>
              <w:spacing w:after="120" w:line="271" w:lineRule="auto"/>
              <w:jc w:val="both"/>
              <w:rPr>
                <w:rFonts w:ascii="Arial" w:hAnsi="Arial" w:cs="Arial"/>
                <w:b/>
                <w:sz w:val="22"/>
                <w:szCs w:val="22"/>
              </w:rPr>
            </w:pPr>
            <w:r w:rsidRPr="006372C2">
              <w:rPr>
                <w:rFonts w:ascii="Arial" w:hAnsi="Arial" w:cs="Arial"/>
                <w:b/>
                <w:sz w:val="22"/>
                <w:szCs w:val="22"/>
              </w:rPr>
              <w:lastRenderedPageBreak/>
              <w:t>Implication</w:t>
            </w:r>
            <w:r w:rsidR="00F22110" w:rsidRPr="006372C2">
              <w:rPr>
                <w:rFonts w:ascii="Arial" w:hAnsi="Arial" w:cs="Arial"/>
                <w:b/>
                <w:sz w:val="22"/>
                <w:szCs w:val="22"/>
              </w:rPr>
              <w:t>/Impact</w:t>
            </w:r>
            <w:r w:rsidRPr="006372C2">
              <w:rPr>
                <w:rFonts w:ascii="Arial" w:hAnsi="Arial" w:cs="Arial"/>
                <w:b/>
                <w:sz w:val="22"/>
                <w:szCs w:val="22"/>
              </w:rPr>
              <w:t xml:space="preserve"> of the </w:t>
            </w:r>
            <w:r w:rsidR="000859A2">
              <w:rPr>
                <w:rFonts w:ascii="Arial" w:hAnsi="Arial" w:cs="Arial"/>
                <w:b/>
                <w:sz w:val="22"/>
                <w:szCs w:val="22"/>
              </w:rPr>
              <w:t>Amendments</w:t>
            </w:r>
          </w:p>
          <w:p w:rsidR="00F22110" w:rsidRPr="006372C2" w:rsidRDefault="00F22110" w:rsidP="006372C2">
            <w:pPr>
              <w:ind w:left="284"/>
              <w:jc w:val="both"/>
              <w:rPr>
                <w:rFonts w:ascii="Arial" w:hAnsi="Arial" w:cs="Arial"/>
                <w:b/>
                <w:sz w:val="22"/>
                <w:szCs w:val="22"/>
                <w:u w:val="single"/>
              </w:rPr>
            </w:pPr>
            <w:r w:rsidRPr="006372C2">
              <w:rPr>
                <w:rFonts w:ascii="Arial" w:hAnsi="Arial" w:cs="Arial"/>
                <w:b/>
                <w:sz w:val="22"/>
                <w:szCs w:val="22"/>
                <w:u w:val="single"/>
              </w:rPr>
              <w:t xml:space="preserve">At a </w:t>
            </w:r>
            <w:r w:rsidR="00991C85" w:rsidRPr="006372C2">
              <w:rPr>
                <w:rFonts w:ascii="Arial" w:hAnsi="Arial" w:cs="Arial"/>
                <w:b/>
                <w:sz w:val="22"/>
                <w:szCs w:val="22"/>
                <w:u w:val="single"/>
              </w:rPr>
              <w:t xml:space="preserve">Firm </w:t>
            </w:r>
            <w:r w:rsidRPr="006372C2">
              <w:rPr>
                <w:rFonts w:ascii="Arial" w:hAnsi="Arial" w:cs="Arial"/>
                <w:b/>
                <w:sz w:val="22"/>
                <w:szCs w:val="22"/>
                <w:u w:val="single"/>
              </w:rPr>
              <w:t>Level</w:t>
            </w:r>
          </w:p>
          <w:p w:rsidR="00F22110" w:rsidRPr="006372C2" w:rsidRDefault="000859A2" w:rsidP="006372C2">
            <w:pPr>
              <w:ind w:left="284"/>
              <w:jc w:val="both"/>
              <w:rPr>
                <w:rFonts w:ascii="Arial" w:hAnsi="Arial" w:cs="Arial"/>
                <w:sz w:val="22"/>
                <w:szCs w:val="22"/>
              </w:rPr>
            </w:pPr>
            <w:r>
              <w:rPr>
                <w:rFonts w:ascii="Arial" w:hAnsi="Arial" w:cs="Arial"/>
                <w:sz w:val="22"/>
                <w:szCs w:val="22"/>
              </w:rPr>
              <w:t>These</w:t>
            </w:r>
            <w:r w:rsidRPr="006372C2">
              <w:rPr>
                <w:rFonts w:ascii="Arial" w:hAnsi="Arial" w:cs="Arial"/>
                <w:sz w:val="22"/>
                <w:szCs w:val="22"/>
              </w:rPr>
              <w:t xml:space="preserve"> amendment</w:t>
            </w:r>
            <w:r>
              <w:rPr>
                <w:rFonts w:ascii="Arial" w:hAnsi="Arial" w:cs="Arial"/>
                <w:sz w:val="22"/>
                <w:szCs w:val="22"/>
              </w:rPr>
              <w:t>s</w:t>
            </w:r>
            <w:r w:rsidRPr="006372C2">
              <w:rPr>
                <w:rFonts w:ascii="Arial" w:hAnsi="Arial" w:cs="Arial"/>
                <w:sz w:val="22"/>
                <w:szCs w:val="22"/>
              </w:rPr>
              <w:t xml:space="preserve"> place</w:t>
            </w:r>
            <w:r w:rsidR="00F22110" w:rsidRPr="006372C2">
              <w:rPr>
                <w:rFonts w:ascii="Arial" w:hAnsi="Arial" w:cs="Arial"/>
                <w:sz w:val="22"/>
                <w:szCs w:val="22"/>
              </w:rPr>
              <w:t xml:space="preserve"> an additional level of responsibility on the audit firms</w:t>
            </w:r>
            <w:r w:rsidR="007173E2">
              <w:rPr>
                <w:rFonts w:ascii="Arial" w:hAnsi="Arial" w:cs="Arial"/>
                <w:sz w:val="22"/>
                <w:szCs w:val="22"/>
              </w:rPr>
              <w:t xml:space="preserve">, which </w:t>
            </w:r>
            <w:r w:rsidR="00F22110" w:rsidRPr="006372C2">
              <w:rPr>
                <w:rFonts w:ascii="Arial" w:hAnsi="Arial" w:cs="Arial"/>
                <w:sz w:val="22"/>
                <w:szCs w:val="22"/>
              </w:rPr>
              <w:t>will be required to consider if an entity other than a li</w:t>
            </w:r>
            <w:r w:rsidR="006372C2" w:rsidRPr="006372C2">
              <w:rPr>
                <w:rFonts w:ascii="Arial" w:hAnsi="Arial" w:cs="Arial"/>
                <w:sz w:val="22"/>
                <w:szCs w:val="22"/>
              </w:rPr>
              <w:t>sted entity is a PIE</w:t>
            </w:r>
            <w:r w:rsidR="00F22110" w:rsidRPr="006372C2">
              <w:rPr>
                <w:rFonts w:ascii="Arial" w:hAnsi="Arial" w:cs="Arial"/>
                <w:sz w:val="22"/>
                <w:szCs w:val="22"/>
              </w:rPr>
              <w:t xml:space="preserve">. This includes the responsibility to properly motivate and document any decision to rebut the presumption that an individual entity is a </w:t>
            </w:r>
            <w:r>
              <w:rPr>
                <w:rFonts w:ascii="Arial" w:hAnsi="Arial" w:cs="Arial"/>
                <w:sz w:val="22"/>
                <w:szCs w:val="22"/>
              </w:rPr>
              <w:t>PIE</w:t>
            </w:r>
            <w:r w:rsidR="00F22110" w:rsidRPr="006372C2">
              <w:rPr>
                <w:rFonts w:ascii="Arial" w:hAnsi="Arial" w:cs="Arial"/>
                <w:sz w:val="22"/>
                <w:szCs w:val="22"/>
              </w:rPr>
              <w:t xml:space="preserve"> in accordance with this Code.</w:t>
            </w:r>
          </w:p>
          <w:p w:rsidR="00F22110" w:rsidRPr="006372C2" w:rsidRDefault="00F22110" w:rsidP="006372C2">
            <w:pPr>
              <w:ind w:left="284"/>
              <w:jc w:val="both"/>
              <w:rPr>
                <w:rFonts w:ascii="Arial" w:hAnsi="Arial" w:cs="Arial"/>
                <w:sz w:val="22"/>
                <w:szCs w:val="22"/>
              </w:rPr>
            </w:pPr>
          </w:p>
          <w:p w:rsidR="00F22110" w:rsidRPr="006372C2" w:rsidRDefault="00F22110" w:rsidP="006372C2">
            <w:pPr>
              <w:ind w:left="284"/>
              <w:jc w:val="both"/>
              <w:rPr>
                <w:rFonts w:ascii="Arial" w:hAnsi="Arial" w:cs="Arial"/>
                <w:b/>
                <w:sz w:val="22"/>
                <w:szCs w:val="22"/>
                <w:u w:val="single"/>
              </w:rPr>
            </w:pPr>
            <w:r w:rsidRPr="006372C2">
              <w:rPr>
                <w:rFonts w:ascii="Arial" w:hAnsi="Arial" w:cs="Arial"/>
                <w:b/>
                <w:sz w:val="22"/>
                <w:szCs w:val="22"/>
                <w:u w:val="single"/>
              </w:rPr>
              <w:t>At an Engagement Level</w:t>
            </w:r>
          </w:p>
          <w:p w:rsidR="00F22110" w:rsidRPr="006372C2" w:rsidRDefault="00F22110" w:rsidP="006372C2">
            <w:pPr>
              <w:ind w:left="284"/>
              <w:jc w:val="both"/>
            </w:pPr>
            <w:r w:rsidRPr="006372C2">
              <w:rPr>
                <w:rFonts w:ascii="Arial" w:hAnsi="Arial" w:cs="Arial"/>
                <w:sz w:val="22"/>
                <w:szCs w:val="22"/>
              </w:rPr>
              <w:t>Auditors who perform audit and review engagements for entities that are considered to be</w:t>
            </w:r>
            <w:r w:rsidR="006372C2" w:rsidRPr="006372C2">
              <w:rPr>
                <w:rFonts w:ascii="Arial" w:hAnsi="Arial" w:cs="Arial"/>
                <w:sz w:val="22"/>
                <w:szCs w:val="22"/>
              </w:rPr>
              <w:t xml:space="preserve"> PIE</w:t>
            </w:r>
            <w:r w:rsidR="00E047CD">
              <w:rPr>
                <w:rFonts w:ascii="Arial" w:hAnsi="Arial" w:cs="Arial"/>
                <w:sz w:val="22"/>
                <w:szCs w:val="22"/>
              </w:rPr>
              <w:t>s</w:t>
            </w:r>
            <w:r w:rsidRPr="006372C2">
              <w:rPr>
                <w:rFonts w:ascii="Arial" w:hAnsi="Arial" w:cs="Arial"/>
                <w:sz w:val="22"/>
                <w:szCs w:val="22"/>
              </w:rPr>
              <w:t xml:space="preserve"> will have to consider the services that are prohibited and the</w:t>
            </w:r>
            <w:r w:rsidR="006372C2" w:rsidRPr="006372C2">
              <w:rPr>
                <w:rFonts w:ascii="Arial" w:hAnsi="Arial" w:cs="Arial"/>
                <w:sz w:val="22"/>
                <w:szCs w:val="22"/>
              </w:rPr>
              <w:t xml:space="preserve"> </w:t>
            </w:r>
            <w:r w:rsidRPr="006372C2">
              <w:rPr>
                <w:rFonts w:ascii="Arial" w:hAnsi="Arial" w:cs="Arial"/>
                <w:sz w:val="22"/>
                <w:szCs w:val="22"/>
              </w:rPr>
              <w:t xml:space="preserve">additional independence requirements imposed by the IRBA Code specifically for </w:t>
            </w:r>
            <w:r w:rsidR="006372C2" w:rsidRPr="006372C2">
              <w:rPr>
                <w:rFonts w:ascii="Arial" w:hAnsi="Arial" w:cs="Arial"/>
                <w:sz w:val="22"/>
                <w:szCs w:val="22"/>
              </w:rPr>
              <w:t>PIE audit clients</w:t>
            </w:r>
            <w:r w:rsidRPr="006372C2">
              <w:rPr>
                <w:rFonts w:ascii="Arial" w:hAnsi="Arial" w:cs="Arial"/>
                <w:sz w:val="22"/>
                <w:szCs w:val="22"/>
              </w:rPr>
              <w:t>, including th</w:t>
            </w:r>
            <w:r w:rsidR="00BA5313" w:rsidRPr="006372C2">
              <w:rPr>
                <w:rFonts w:ascii="Arial" w:hAnsi="Arial" w:cs="Arial"/>
                <w:sz w:val="22"/>
                <w:szCs w:val="22"/>
              </w:rPr>
              <w:t>ose set out in the table below</w:t>
            </w:r>
            <w:r w:rsidR="005A0655" w:rsidRPr="005A0655">
              <w:rPr>
                <w:rFonts w:ascii="Arial" w:hAnsi="Arial" w:cs="Arial"/>
                <w:sz w:val="22"/>
                <w:szCs w:val="22"/>
              </w:rPr>
              <w:t>. It is advisable for auditors to brief audit committees about the impact of this development.</w:t>
            </w:r>
          </w:p>
          <w:p w:rsidR="00BA5313" w:rsidRPr="006372C2" w:rsidRDefault="00BA5313" w:rsidP="00BA5313">
            <w:pPr>
              <w:jc w:val="both"/>
            </w:pPr>
          </w:p>
          <w:p w:rsidR="00BA5313" w:rsidRPr="006372C2" w:rsidRDefault="00BA5313" w:rsidP="00BA5313">
            <w:pPr>
              <w:tabs>
                <w:tab w:val="left" w:pos="4932"/>
              </w:tabs>
              <w:autoSpaceDE w:val="0"/>
              <w:autoSpaceDN w:val="0"/>
              <w:adjustRightInd w:val="0"/>
              <w:jc w:val="both"/>
              <w:rPr>
                <w:rFonts w:ascii="Arial" w:hAnsi="Arial" w:cs="Arial"/>
                <w:b/>
                <w:sz w:val="20"/>
                <w:szCs w:val="20"/>
              </w:rPr>
            </w:pPr>
            <w:r w:rsidRPr="006372C2">
              <w:rPr>
                <w:rFonts w:ascii="Arial" w:hAnsi="Arial" w:cs="Arial"/>
                <w:b/>
                <w:sz w:val="20"/>
                <w:szCs w:val="20"/>
              </w:rPr>
              <w:t>Additional Independence Requirements Applicable to a PIE</w:t>
            </w:r>
            <w:r w:rsidR="00D35969">
              <w:rPr>
                <w:rFonts w:ascii="Arial" w:hAnsi="Arial" w:cs="Arial"/>
                <w:b/>
                <w:sz w:val="20"/>
                <w:szCs w:val="20"/>
              </w:rPr>
              <w:t xml:space="preserve"> include:</w:t>
            </w:r>
          </w:p>
          <w:tbl>
            <w:tblPr>
              <w:tblStyle w:val="TableGrid"/>
              <w:tblW w:w="0" w:type="auto"/>
              <w:tblLook w:val="04A0" w:firstRow="1" w:lastRow="0" w:firstColumn="1" w:lastColumn="0" w:noHBand="0" w:noVBand="1"/>
            </w:tblPr>
            <w:tblGrid>
              <w:gridCol w:w="1951"/>
              <w:gridCol w:w="3827"/>
              <w:gridCol w:w="2410"/>
            </w:tblGrid>
            <w:tr w:rsidR="00BA5313" w:rsidRPr="006372C2" w:rsidTr="00A44DEE">
              <w:tc>
                <w:tcPr>
                  <w:tcW w:w="1951" w:type="dxa"/>
                </w:tcPr>
                <w:p w:rsidR="00BA5313" w:rsidRPr="006372C2" w:rsidRDefault="00BA5313" w:rsidP="00A44DEE">
                  <w:pPr>
                    <w:tabs>
                      <w:tab w:val="left" w:pos="4932"/>
                    </w:tabs>
                    <w:autoSpaceDE w:val="0"/>
                    <w:autoSpaceDN w:val="0"/>
                    <w:adjustRightInd w:val="0"/>
                    <w:rPr>
                      <w:rFonts w:ascii="Arial" w:hAnsi="Arial" w:cs="Arial"/>
                      <w:b/>
                      <w:sz w:val="20"/>
                      <w:szCs w:val="20"/>
                    </w:rPr>
                  </w:pPr>
                  <w:r w:rsidRPr="006372C2">
                    <w:rPr>
                      <w:rFonts w:ascii="Arial" w:hAnsi="Arial" w:cs="Arial"/>
                      <w:b/>
                      <w:sz w:val="20"/>
                      <w:szCs w:val="20"/>
                    </w:rPr>
                    <w:t>IRBA Code Paragraph</w:t>
                  </w:r>
                </w:p>
              </w:tc>
              <w:tc>
                <w:tcPr>
                  <w:tcW w:w="3827" w:type="dxa"/>
                </w:tcPr>
                <w:p w:rsidR="00BA5313" w:rsidRPr="006372C2" w:rsidRDefault="00BA5313" w:rsidP="00991C85">
                  <w:pPr>
                    <w:tabs>
                      <w:tab w:val="left" w:pos="4932"/>
                    </w:tabs>
                    <w:autoSpaceDE w:val="0"/>
                    <w:autoSpaceDN w:val="0"/>
                    <w:adjustRightInd w:val="0"/>
                    <w:rPr>
                      <w:rFonts w:ascii="Arial" w:hAnsi="Arial" w:cs="Arial"/>
                      <w:b/>
                      <w:sz w:val="20"/>
                      <w:szCs w:val="20"/>
                    </w:rPr>
                  </w:pPr>
                  <w:r w:rsidRPr="006372C2">
                    <w:rPr>
                      <w:rFonts w:ascii="Arial" w:hAnsi="Arial" w:cs="Arial"/>
                      <w:b/>
                      <w:sz w:val="20"/>
                      <w:szCs w:val="20"/>
                    </w:rPr>
                    <w:t xml:space="preserve">Prohibition or Independence </w:t>
                  </w:r>
                  <w:r w:rsidR="00991C85">
                    <w:rPr>
                      <w:rFonts w:ascii="Arial" w:hAnsi="Arial" w:cs="Arial"/>
                      <w:b/>
                      <w:sz w:val="20"/>
                      <w:szCs w:val="20"/>
                    </w:rPr>
                    <w:t>R</w:t>
                  </w:r>
                  <w:r w:rsidRPr="006372C2">
                    <w:rPr>
                      <w:rFonts w:ascii="Arial" w:hAnsi="Arial" w:cs="Arial"/>
                      <w:b/>
                      <w:sz w:val="20"/>
                      <w:szCs w:val="20"/>
                    </w:rPr>
                    <w:t>equirement</w:t>
                  </w:r>
                </w:p>
              </w:tc>
              <w:tc>
                <w:tcPr>
                  <w:tcW w:w="2410" w:type="dxa"/>
                </w:tcPr>
                <w:p w:rsidR="00BA5313" w:rsidRPr="006372C2" w:rsidRDefault="00BA5313" w:rsidP="00991C85">
                  <w:pPr>
                    <w:tabs>
                      <w:tab w:val="left" w:pos="4932"/>
                    </w:tabs>
                    <w:autoSpaceDE w:val="0"/>
                    <w:autoSpaceDN w:val="0"/>
                    <w:adjustRightInd w:val="0"/>
                    <w:rPr>
                      <w:rFonts w:ascii="Arial" w:hAnsi="Arial" w:cs="Arial"/>
                      <w:b/>
                      <w:sz w:val="20"/>
                      <w:szCs w:val="20"/>
                    </w:rPr>
                  </w:pPr>
                  <w:r w:rsidRPr="006372C2">
                    <w:rPr>
                      <w:rFonts w:ascii="Arial" w:hAnsi="Arial" w:cs="Arial"/>
                      <w:b/>
                      <w:sz w:val="20"/>
                      <w:szCs w:val="20"/>
                    </w:rPr>
                    <w:t>Companies Act 2008 (Act No.71 of 2008)</w:t>
                  </w:r>
                </w:p>
              </w:tc>
            </w:tr>
            <w:tr w:rsidR="00BA5313" w:rsidRPr="006372C2" w:rsidTr="00A44DEE">
              <w:tc>
                <w:tcPr>
                  <w:tcW w:w="1951" w:type="dxa"/>
                </w:tcPr>
                <w:p w:rsidR="00BA5313" w:rsidRPr="006372C2" w:rsidRDefault="00BA5313" w:rsidP="00A44DEE">
                  <w:pPr>
                    <w:tabs>
                      <w:tab w:val="left" w:pos="4932"/>
                    </w:tabs>
                    <w:autoSpaceDE w:val="0"/>
                    <w:autoSpaceDN w:val="0"/>
                    <w:adjustRightInd w:val="0"/>
                    <w:jc w:val="both"/>
                    <w:rPr>
                      <w:rFonts w:ascii="Arial" w:hAnsi="Arial" w:cs="Arial"/>
                      <w:b/>
                      <w:sz w:val="20"/>
                      <w:szCs w:val="20"/>
                    </w:rPr>
                  </w:pPr>
                  <w:r w:rsidRPr="006372C2">
                    <w:rPr>
                      <w:rFonts w:ascii="Arial" w:hAnsi="Arial" w:cs="Arial"/>
                      <w:sz w:val="20"/>
                      <w:szCs w:val="20"/>
                    </w:rPr>
                    <w:t>Paragraph 290.138</w:t>
                  </w:r>
                </w:p>
              </w:tc>
              <w:tc>
                <w:tcPr>
                  <w:tcW w:w="3827" w:type="dxa"/>
                </w:tcPr>
                <w:p w:rsidR="00BA5313" w:rsidRPr="006372C2" w:rsidRDefault="00BA5313" w:rsidP="00991C85">
                  <w:pPr>
                    <w:tabs>
                      <w:tab w:val="left" w:pos="4932"/>
                    </w:tabs>
                    <w:autoSpaceDE w:val="0"/>
                    <w:autoSpaceDN w:val="0"/>
                    <w:adjustRightInd w:val="0"/>
                    <w:jc w:val="both"/>
                    <w:rPr>
                      <w:rFonts w:ascii="Arial" w:hAnsi="Arial" w:cs="Arial"/>
                      <w:b/>
                      <w:sz w:val="20"/>
                      <w:szCs w:val="20"/>
                    </w:rPr>
                  </w:pPr>
                  <w:r w:rsidRPr="006372C2">
                    <w:rPr>
                      <w:rFonts w:ascii="Arial" w:hAnsi="Arial" w:cs="Arial"/>
                      <w:sz w:val="20"/>
                      <w:szCs w:val="20"/>
                    </w:rPr>
                    <w:t xml:space="preserve">Prohibits a key audit partner or senior managing partner joining a </w:t>
                  </w:r>
                  <w:r w:rsidR="000859A2">
                    <w:rPr>
                      <w:rFonts w:ascii="Arial" w:hAnsi="Arial" w:cs="Arial"/>
                      <w:sz w:val="20"/>
                      <w:szCs w:val="20"/>
                    </w:rPr>
                    <w:t xml:space="preserve">PIE </w:t>
                  </w:r>
                  <w:r w:rsidRPr="006372C2">
                    <w:rPr>
                      <w:rFonts w:ascii="Arial" w:hAnsi="Arial" w:cs="Arial"/>
                      <w:sz w:val="20"/>
                      <w:szCs w:val="20"/>
                    </w:rPr>
                    <w:t>client before a defined time</w:t>
                  </w:r>
                  <w:r w:rsidR="00991C85">
                    <w:rPr>
                      <w:rFonts w:ascii="Arial" w:hAnsi="Arial" w:cs="Arial"/>
                      <w:sz w:val="20"/>
                      <w:szCs w:val="20"/>
                    </w:rPr>
                    <w:t>-</w:t>
                  </w:r>
                  <w:r w:rsidRPr="006372C2">
                    <w:rPr>
                      <w:rFonts w:ascii="Arial" w:hAnsi="Arial" w:cs="Arial"/>
                      <w:sz w:val="20"/>
                      <w:szCs w:val="20"/>
                    </w:rPr>
                    <w:t>out period</w:t>
                  </w:r>
                  <w:r w:rsidR="00991C85">
                    <w:rPr>
                      <w:rFonts w:ascii="Arial" w:hAnsi="Arial" w:cs="Arial"/>
                      <w:sz w:val="20"/>
                      <w:szCs w:val="20"/>
                    </w:rPr>
                    <w:t>.</w:t>
                  </w:r>
                </w:p>
              </w:tc>
              <w:tc>
                <w:tcPr>
                  <w:tcW w:w="2410" w:type="dxa"/>
                </w:tcPr>
                <w:p w:rsidR="00BA5313" w:rsidRPr="006372C2" w:rsidRDefault="00BA5313" w:rsidP="00A44DEE">
                  <w:pPr>
                    <w:tabs>
                      <w:tab w:val="left" w:pos="4932"/>
                    </w:tabs>
                    <w:autoSpaceDE w:val="0"/>
                    <w:autoSpaceDN w:val="0"/>
                    <w:adjustRightInd w:val="0"/>
                    <w:jc w:val="both"/>
                    <w:rPr>
                      <w:rFonts w:ascii="Arial" w:hAnsi="Arial" w:cs="Arial"/>
                      <w:b/>
                      <w:sz w:val="20"/>
                      <w:szCs w:val="20"/>
                    </w:rPr>
                  </w:pPr>
                </w:p>
              </w:tc>
            </w:tr>
            <w:tr w:rsidR="00BA5313" w:rsidRPr="006372C2" w:rsidTr="00A44DEE">
              <w:tc>
                <w:tcPr>
                  <w:tcW w:w="1951" w:type="dxa"/>
                </w:tcPr>
                <w:p w:rsidR="00BA5313" w:rsidRPr="006372C2" w:rsidRDefault="00BA5313" w:rsidP="00A44DEE">
                  <w:pPr>
                    <w:tabs>
                      <w:tab w:val="left" w:pos="4932"/>
                    </w:tabs>
                    <w:autoSpaceDE w:val="0"/>
                    <w:autoSpaceDN w:val="0"/>
                    <w:adjustRightInd w:val="0"/>
                    <w:jc w:val="both"/>
                    <w:rPr>
                      <w:rFonts w:ascii="Arial" w:hAnsi="Arial" w:cs="Arial"/>
                      <w:b/>
                      <w:sz w:val="20"/>
                      <w:szCs w:val="20"/>
                    </w:rPr>
                  </w:pPr>
                  <w:r w:rsidRPr="006372C2">
                    <w:rPr>
                      <w:rFonts w:ascii="Arial" w:hAnsi="Arial" w:cs="Arial"/>
                      <w:sz w:val="20"/>
                      <w:szCs w:val="20"/>
                    </w:rPr>
                    <w:t>Paragraph 290.149</w:t>
                  </w:r>
                </w:p>
              </w:tc>
              <w:tc>
                <w:tcPr>
                  <w:tcW w:w="3827" w:type="dxa"/>
                </w:tcPr>
                <w:p w:rsidR="00BA5313" w:rsidRPr="006372C2" w:rsidRDefault="00BA5313" w:rsidP="00633E48">
                  <w:pPr>
                    <w:tabs>
                      <w:tab w:val="left" w:pos="4932"/>
                    </w:tabs>
                    <w:autoSpaceDE w:val="0"/>
                    <w:autoSpaceDN w:val="0"/>
                    <w:adjustRightInd w:val="0"/>
                    <w:jc w:val="both"/>
                    <w:rPr>
                      <w:rFonts w:ascii="Arial" w:hAnsi="Arial" w:cs="Arial"/>
                      <w:b/>
                      <w:sz w:val="20"/>
                      <w:szCs w:val="20"/>
                    </w:rPr>
                  </w:pPr>
                  <w:r w:rsidRPr="006372C2">
                    <w:rPr>
                      <w:rFonts w:ascii="Arial" w:hAnsi="Arial" w:cs="Arial"/>
                      <w:sz w:val="20"/>
                      <w:szCs w:val="20"/>
                    </w:rPr>
                    <w:t xml:space="preserve">Prohibits a key audit partner serving more than </w:t>
                  </w:r>
                  <w:r w:rsidR="00991C85">
                    <w:rPr>
                      <w:rFonts w:ascii="Arial" w:hAnsi="Arial" w:cs="Arial"/>
                      <w:sz w:val="20"/>
                      <w:szCs w:val="20"/>
                    </w:rPr>
                    <w:t>seven</w:t>
                  </w:r>
                  <w:r w:rsidRPr="006372C2">
                    <w:rPr>
                      <w:rFonts w:ascii="Arial" w:hAnsi="Arial" w:cs="Arial"/>
                      <w:sz w:val="20"/>
                      <w:szCs w:val="20"/>
                    </w:rPr>
                    <w:t xml:space="preserve"> years on a </w:t>
                  </w:r>
                  <w:r w:rsidR="000859A2">
                    <w:rPr>
                      <w:rFonts w:ascii="Arial" w:hAnsi="Arial" w:cs="Arial"/>
                      <w:sz w:val="20"/>
                      <w:szCs w:val="20"/>
                    </w:rPr>
                    <w:t xml:space="preserve">PIE </w:t>
                  </w:r>
                  <w:r w:rsidRPr="006372C2">
                    <w:rPr>
                      <w:rFonts w:ascii="Arial" w:hAnsi="Arial" w:cs="Arial"/>
                      <w:sz w:val="20"/>
                      <w:szCs w:val="20"/>
                    </w:rPr>
                    <w:t>client</w:t>
                  </w:r>
                  <w:r w:rsidR="000859A2">
                    <w:rPr>
                      <w:rFonts w:ascii="Arial" w:hAnsi="Arial" w:cs="Arial"/>
                      <w:sz w:val="20"/>
                      <w:szCs w:val="20"/>
                    </w:rPr>
                    <w:t>.</w:t>
                  </w:r>
                  <w:r w:rsidRPr="006372C2">
                    <w:rPr>
                      <w:rFonts w:ascii="Arial" w:hAnsi="Arial" w:cs="Arial"/>
                      <w:sz w:val="20"/>
                      <w:szCs w:val="20"/>
                    </w:rPr>
                    <w:t xml:space="preserve"> </w:t>
                  </w:r>
                </w:p>
              </w:tc>
              <w:tc>
                <w:tcPr>
                  <w:tcW w:w="2410" w:type="dxa"/>
                </w:tcPr>
                <w:p w:rsidR="00BA5313" w:rsidRPr="006372C2" w:rsidRDefault="00BA5313" w:rsidP="00A44DEE">
                  <w:pPr>
                    <w:tabs>
                      <w:tab w:val="left" w:pos="4932"/>
                    </w:tabs>
                    <w:autoSpaceDE w:val="0"/>
                    <w:autoSpaceDN w:val="0"/>
                    <w:adjustRightInd w:val="0"/>
                    <w:rPr>
                      <w:rFonts w:ascii="Arial" w:hAnsi="Arial" w:cs="Arial"/>
                      <w:b/>
                      <w:sz w:val="20"/>
                      <w:szCs w:val="20"/>
                    </w:rPr>
                  </w:pPr>
                  <w:r w:rsidRPr="006372C2">
                    <w:rPr>
                      <w:rFonts w:ascii="Arial" w:hAnsi="Arial" w:cs="Arial"/>
                      <w:sz w:val="20"/>
                      <w:szCs w:val="20"/>
                    </w:rPr>
                    <w:t>Section 92 of the Companies Act has a more stringent rotation requirement</w:t>
                  </w:r>
                  <w:r w:rsidR="00991C85">
                    <w:rPr>
                      <w:rFonts w:ascii="Arial" w:hAnsi="Arial" w:cs="Arial"/>
                      <w:sz w:val="20"/>
                      <w:szCs w:val="20"/>
                    </w:rPr>
                    <w:t>.</w:t>
                  </w:r>
                </w:p>
              </w:tc>
            </w:tr>
            <w:tr w:rsidR="00BA5313" w:rsidRPr="006372C2" w:rsidTr="00A44DEE">
              <w:tc>
                <w:tcPr>
                  <w:tcW w:w="1951" w:type="dxa"/>
                </w:tcPr>
                <w:p w:rsidR="00BA5313" w:rsidRPr="006372C2" w:rsidRDefault="00BA5313" w:rsidP="00A44DEE">
                  <w:pPr>
                    <w:tabs>
                      <w:tab w:val="left" w:pos="4932"/>
                    </w:tabs>
                    <w:autoSpaceDE w:val="0"/>
                    <w:autoSpaceDN w:val="0"/>
                    <w:adjustRightInd w:val="0"/>
                    <w:jc w:val="both"/>
                    <w:rPr>
                      <w:rFonts w:ascii="Arial" w:hAnsi="Arial" w:cs="Arial"/>
                      <w:b/>
                      <w:sz w:val="20"/>
                      <w:szCs w:val="20"/>
                    </w:rPr>
                  </w:pPr>
                  <w:r w:rsidRPr="006372C2">
                    <w:rPr>
                      <w:rFonts w:ascii="Arial" w:hAnsi="Arial" w:cs="Arial"/>
                      <w:sz w:val="20"/>
                      <w:szCs w:val="20"/>
                    </w:rPr>
                    <w:t>Paragraph 290.177</w:t>
                  </w:r>
                </w:p>
              </w:tc>
              <w:tc>
                <w:tcPr>
                  <w:tcW w:w="3827" w:type="dxa"/>
                </w:tcPr>
                <w:p w:rsidR="00BA5313" w:rsidRPr="006372C2" w:rsidRDefault="00BA5313" w:rsidP="00B52FBE">
                  <w:pPr>
                    <w:tabs>
                      <w:tab w:val="left" w:pos="4932"/>
                    </w:tabs>
                    <w:autoSpaceDE w:val="0"/>
                    <w:autoSpaceDN w:val="0"/>
                    <w:adjustRightInd w:val="0"/>
                    <w:jc w:val="both"/>
                    <w:rPr>
                      <w:rFonts w:ascii="Arial" w:hAnsi="Arial" w:cs="Arial"/>
                      <w:b/>
                      <w:sz w:val="20"/>
                      <w:szCs w:val="20"/>
                    </w:rPr>
                  </w:pPr>
                  <w:r w:rsidRPr="006372C2">
                    <w:rPr>
                      <w:rFonts w:ascii="Arial" w:hAnsi="Arial" w:cs="Arial"/>
                      <w:sz w:val="20"/>
                      <w:szCs w:val="20"/>
                    </w:rPr>
                    <w:t xml:space="preserve">Prohibits the provision of </w:t>
                  </w:r>
                  <w:r w:rsidR="00991C85">
                    <w:rPr>
                      <w:rFonts w:ascii="Arial" w:hAnsi="Arial" w:cs="Arial"/>
                      <w:sz w:val="20"/>
                      <w:szCs w:val="20"/>
                    </w:rPr>
                    <w:t>v</w:t>
                  </w:r>
                  <w:r w:rsidRPr="006372C2">
                    <w:rPr>
                      <w:rFonts w:ascii="Arial" w:hAnsi="Arial" w:cs="Arial"/>
                      <w:sz w:val="20"/>
                      <w:szCs w:val="20"/>
                    </w:rPr>
                    <w:t xml:space="preserve">aluation </w:t>
                  </w:r>
                  <w:r w:rsidR="00991C85">
                    <w:rPr>
                      <w:rFonts w:ascii="Arial" w:hAnsi="Arial" w:cs="Arial"/>
                      <w:sz w:val="20"/>
                      <w:szCs w:val="20"/>
                    </w:rPr>
                    <w:t>s</w:t>
                  </w:r>
                  <w:r w:rsidRPr="006372C2">
                    <w:rPr>
                      <w:rFonts w:ascii="Arial" w:hAnsi="Arial" w:cs="Arial"/>
                      <w:sz w:val="20"/>
                      <w:szCs w:val="20"/>
                    </w:rPr>
                    <w:t xml:space="preserve">ervices for </w:t>
                  </w:r>
                  <w:r w:rsidR="00B52FBE">
                    <w:rPr>
                      <w:rFonts w:ascii="Arial" w:hAnsi="Arial" w:cs="Arial"/>
                      <w:sz w:val="20"/>
                      <w:szCs w:val="20"/>
                    </w:rPr>
                    <w:t>a PIE</w:t>
                  </w:r>
                  <w:r w:rsidR="00B52FBE" w:rsidRPr="006372C2">
                    <w:rPr>
                      <w:rFonts w:ascii="Arial" w:hAnsi="Arial" w:cs="Arial"/>
                      <w:sz w:val="20"/>
                      <w:szCs w:val="20"/>
                    </w:rPr>
                    <w:t xml:space="preserve"> </w:t>
                  </w:r>
                  <w:r w:rsidR="00991C85">
                    <w:rPr>
                      <w:rFonts w:ascii="Arial" w:hAnsi="Arial" w:cs="Arial"/>
                      <w:sz w:val="20"/>
                      <w:szCs w:val="20"/>
                    </w:rPr>
                    <w:t>a</w:t>
                  </w:r>
                  <w:r w:rsidRPr="006372C2">
                    <w:rPr>
                      <w:rFonts w:ascii="Arial" w:hAnsi="Arial" w:cs="Arial"/>
                      <w:sz w:val="20"/>
                      <w:szCs w:val="20"/>
                    </w:rPr>
                    <w:t xml:space="preserve">udit </w:t>
                  </w:r>
                  <w:r w:rsidR="00991C85">
                    <w:rPr>
                      <w:rFonts w:ascii="Arial" w:hAnsi="Arial" w:cs="Arial"/>
                      <w:sz w:val="20"/>
                      <w:szCs w:val="20"/>
                    </w:rPr>
                    <w:t>c</w:t>
                  </w:r>
                  <w:r w:rsidRPr="006372C2">
                    <w:rPr>
                      <w:rFonts w:ascii="Arial" w:hAnsi="Arial" w:cs="Arial"/>
                      <w:sz w:val="20"/>
                      <w:szCs w:val="20"/>
                    </w:rPr>
                    <w:t>lient</w:t>
                  </w:r>
                  <w:r w:rsidR="00B52FBE">
                    <w:rPr>
                      <w:rFonts w:ascii="Arial" w:hAnsi="Arial" w:cs="Arial"/>
                      <w:sz w:val="20"/>
                      <w:szCs w:val="20"/>
                    </w:rPr>
                    <w:t xml:space="preserve"> if the valuation </w:t>
                  </w:r>
                  <w:r w:rsidR="00113E44">
                    <w:rPr>
                      <w:rFonts w:ascii="Arial" w:hAnsi="Arial" w:cs="Arial"/>
                      <w:sz w:val="20"/>
                      <w:szCs w:val="20"/>
                    </w:rPr>
                    <w:t>has</w:t>
                  </w:r>
                  <w:r w:rsidR="00B52FBE">
                    <w:rPr>
                      <w:rFonts w:ascii="Arial" w:hAnsi="Arial" w:cs="Arial"/>
                      <w:sz w:val="20"/>
                      <w:szCs w:val="20"/>
                    </w:rPr>
                    <w:t xml:space="preserve"> material</w:t>
                  </w:r>
                  <w:r w:rsidR="00113E44">
                    <w:rPr>
                      <w:rFonts w:ascii="Arial" w:hAnsi="Arial" w:cs="Arial"/>
                      <w:sz w:val="20"/>
                      <w:szCs w:val="20"/>
                    </w:rPr>
                    <w:t xml:space="preserve"> effect, separately or in aggregate,</w:t>
                  </w:r>
                  <w:r w:rsidR="00B52FBE">
                    <w:rPr>
                      <w:rFonts w:ascii="Arial" w:hAnsi="Arial" w:cs="Arial"/>
                      <w:sz w:val="20"/>
                      <w:szCs w:val="20"/>
                    </w:rPr>
                    <w:t xml:space="preserve"> to the financial statements</w:t>
                  </w:r>
                  <w:r w:rsidR="00991C85">
                    <w:rPr>
                      <w:rFonts w:ascii="Arial" w:hAnsi="Arial" w:cs="Arial"/>
                      <w:sz w:val="20"/>
                      <w:szCs w:val="20"/>
                    </w:rPr>
                    <w:t>.</w:t>
                  </w:r>
                  <w:r w:rsidRPr="006372C2">
                    <w:rPr>
                      <w:rFonts w:ascii="Arial" w:hAnsi="Arial" w:cs="Arial"/>
                      <w:sz w:val="20"/>
                      <w:szCs w:val="20"/>
                    </w:rPr>
                    <w:t xml:space="preserve"> </w:t>
                  </w:r>
                </w:p>
              </w:tc>
              <w:tc>
                <w:tcPr>
                  <w:tcW w:w="2410" w:type="dxa"/>
                </w:tcPr>
                <w:p w:rsidR="00BA5313" w:rsidRPr="006372C2" w:rsidRDefault="00BA5313" w:rsidP="00A44DEE">
                  <w:pPr>
                    <w:tabs>
                      <w:tab w:val="left" w:pos="4932"/>
                    </w:tabs>
                    <w:autoSpaceDE w:val="0"/>
                    <w:autoSpaceDN w:val="0"/>
                    <w:adjustRightInd w:val="0"/>
                    <w:jc w:val="both"/>
                    <w:rPr>
                      <w:rFonts w:ascii="Arial" w:hAnsi="Arial" w:cs="Arial"/>
                      <w:b/>
                      <w:sz w:val="20"/>
                      <w:szCs w:val="20"/>
                    </w:rPr>
                  </w:pPr>
                </w:p>
              </w:tc>
            </w:tr>
            <w:tr w:rsidR="00BA5313" w:rsidRPr="006372C2" w:rsidTr="00A44DEE">
              <w:tc>
                <w:tcPr>
                  <w:tcW w:w="1951" w:type="dxa"/>
                </w:tcPr>
                <w:p w:rsidR="00BA5313" w:rsidRPr="006372C2" w:rsidRDefault="00BA5313" w:rsidP="00A44DEE">
                  <w:pPr>
                    <w:tabs>
                      <w:tab w:val="left" w:pos="4932"/>
                    </w:tabs>
                    <w:autoSpaceDE w:val="0"/>
                    <w:autoSpaceDN w:val="0"/>
                    <w:adjustRightInd w:val="0"/>
                    <w:jc w:val="both"/>
                    <w:rPr>
                      <w:rFonts w:ascii="Arial" w:hAnsi="Arial" w:cs="Arial"/>
                      <w:b/>
                      <w:sz w:val="20"/>
                      <w:szCs w:val="20"/>
                    </w:rPr>
                  </w:pPr>
                  <w:r w:rsidRPr="006372C2">
                    <w:rPr>
                      <w:rFonts w:ascii="Arial" w:hAnsi="Arial" w:cs="Arial"/>
                      <w:sz w:val="20"/>
                      <w:szCs w:val="20"/>
                    </w:rPr>
                    <w:t>Paragraph 290.182</w:t>
                  </w:r>
                </w:p>
              </w:tc>
              <w:tc>
                <w:tcPr>
                  <w:tcW w:w="3827" w:type="dxa"/>
                </w:tcPr>
                <w:p w:rsidR="00BA5313" w:rsidRPr="006372C2" w:rsidRDefault="00BA5313" w:rsidP="00B52FBE">
                  <w:pPr>
                    <w:tabs>
                      <w:tab w:val="left" w:pos="4932"/>
                    </w:tabs>
                    <w:autoSpaceDE w:val="0"/>
                    <w:autoSpaceDN w:val="0"/>
                    <w:adjustRightInd w:val="0"/>
                    <w:jc w:val="both"/>
                    <w:rPr>
                      <w:rFonts w:ascii="Arial" w:hAnsi="Arial" w:cs="Arial"/>
                      <w:b/>
                      <w:sz w:val="20"/>
                      <w:szCs w:val="20"/>
                    </w:rPr>
                  </w:pPr>
                  <w:r w:rsidRPr="006372C2">
                    <w:rPr>
                      <w:rFonts w:ascii="Arial" w:hAnsi="Arial" w:cs="Arial"/>
                      <w:sz w:val="20"/>
                      <w:szCs w:val="20"/>
                    </w:rPr>
                    <w:t xml:space="preserve">Prohibits the preparation of </w:t>
                  </w:r>
                  <w:r w:rsidR="00B52FBE" w:rsidRPr="006372C2">
                    <w:rPr>
                      <w:rFonts w:ascii="Arial" w:hAnsi="Arial" w:cs="Arial"/>
                      <w:sz w:val="20"/>
                      <w:szCs w:val="20"/>
                    </w:rPr>
                    <w:t>calculatio</w:t>
                  </w:r>
                  <w:r w:rsidR="00B52FBE">
                    <w:rPr>
                      <w:rFonts w:ascii="Arial" w:hAnsi="Arial" w:cs="Arial"/>
                      <w:sz w:val="20"/>
                      <w:szCs w:val="20"/>
                    </w:rPr>
                    <w:t>ns</w:t>
                  </w:r>
                  <w:r w:rsidR="00B52FBE" w:rsidRPr="006372C2">
                    <w:rPr>
                      <w:rFonts w:ascii="Arial" w:hAnsi="Arial" w:cs="Arial"/>
                      <w:sz w:val="20"/>
                      <w:szCs w:val="20"/>
                    </w:rPr>
                    <w:t xml:space="preserve"> </w:t>
                  </w:r>
                  <w:r w:rsidRPr="006372C2">
                    <w:rPr>
                      <w:rFonts w:ascii="Arial" w:hAnsi="Arial" w:cs="Arial"/>
                      <w:sz w:val="20"/>
                      <w:szCs w:val="20"/>
                    </w:rPr>
                    <w:t>of current taxation and deferred taxation liabilities (assets)</w:t>
                  </w:r>
                  <w:r w:rsidR="00B52FBE">
                    <w:rPr>
                      <w:rFonts w:ascii="Arial" w:hAnsi="Arial" w:cs="Arial"/>
                      <w:sz w:val="20"/>
                      <w:szCs w:val="20"/>
                    </w:rPr>
                    <w:t xml:space="preserve"> for a PIE audit client if the resulting accounting entries are material to the financial statements</w:t>
                  </w:r>
                  <w:r w:rsidR="00991C85">
                    <w:rPr>
                      <w:rFonts w:ascii="Arial" w:hAnsi="Arial" w:cs="Arial"/>
                      <w:sz w:val="20"/>
                      <w:szCs w:val="20"/>
                    </w:rPr>
                    <w:t>.</w:t>
                  </w:r>
                </w:p>
              </w:tc>
              <w:tc>
                <w:tcPr>
                  <w:tcW w:w="2410" w:type="dxa"/>
                </w:tcPr>
                <w:p w:rsidR="00BA5313" w:rsidRPr="006372C2" w:rsidRDefault="00BA5313" w:rsidP="00A44DEE">
                  <w:pPr>
                    <w:tabs>
                      <w:tab w:val="left" w:pos="4932"/>
                    </w:tabs>
                    <w:autoSpaceDE w:val="0"/>
                    <w:autoSpaceDN w:val="0"/>
                    <w:adjustRightInd w:val="0"/>
                    <w:jc w:val="both"/>
                    <w:rPr>
                      <w:rFonts w:ascii="Arial" w:hAnsi="Arial" w:cs="Arial"/>
                      <w:b/>
                      <w:sz w:val="20"/>
                      <w:szCs w:val="20"/>
                    </w:rPr>
                  </w:pPr>
                </w:p>
              </w:tc>
            </w:tr>
            <w:tr w:rsidR="00BA5313" w:rsidRPr="006372C2" w:rsidTr="00A44DEE">
              <w:tc>
                <w:tcPr>
                  <w:tcW w:w="1951" w:type="dxa"/>
                </w:tcPr>
                <w:p w:rsidR="00BA5313" w:rsidRPr="006372C2" w:rsidRDefault="00BA5313" w:rsidP="00A44DEE">
                  <w:pPr>
                    <w:tabs>
                      <w:tab w:val="left" w:pos="4932"/>
                    </w:tabs>
                    <w:autoSpaceDE w:val="0"/>
                    <w:autoSpaceDN w:val="0"/>
                    <w:adjustRightInd w:val="0"/>
                    <w:jc w:val="both"/>
                    <w:rPr>
                      <w:rFonts w:ascii="Arial" w:hAnsi="Arial" w:cs="Arial"/>
                      <w:b/>
                      <w:sz w:val="20"/>
                      <w:szCs w:val="20"/>
                    </w:rPr>
                  </w:pPr>
                  <w:r w:rsidRPr="006372C2">
                    <w:rPr>
                      <w:rFonts w:ascii="Arial" w:hAnsi="Arial" w:cs="Arial"/>
                      <w:sz w:val="20"/>
                      <w:szCs w:val="20"/>
                    </w:rPr>
                    <w:t>Paragraph 290.197</w:t>
                  </w:r>
                </w:p>
              </w:tc>
              <w:tc>
                <w:tcPr>
                  <w:tcW w:w="3827" w:type="dxa"/>
                </w:tcPr>
                <w:p w:rsidR="00BA5313" w:rsidRPr="006372C2" w:rsidRDefault="00BA5313" w:rsidP="00B52FBE">
                  <w:pPr>
                    <w:tabs>
                      <w:tab w:val="left" w:pos="4932"/>
                    </w:tabs>
                    <w:autoSpaceDE w:val="0"/>
                    <w:autoSpaceDN w:val="0"/>
                    <w:adjustRightInd w:val="0"/>
                    <w:jc w:val="both"/>
                    <w:rPr>
                      <w:rFonts w:ascii="Arial" w:hAnsi="Arial" w:cs="Arial"/>
                      <w:b/>
                      <w:sz w:val="20"/>
                      <w:szCs w:val="20"/>
                    </w:rPr>
                  </w:pPr>
                  <w:r w:rsidRPr="006372C2">
                    <w:rPr>
                      <w:rFonts w:ascii="Arial" w:hAnsi="Arial" w:cs="Arial"/>
                      <w:sz w:val="20"/>
                      <w:szCs w:val="20"/>
                    </w:rPr>
                    <w:t xml:space="preserve">Prohibits the provision of </w:t>
                  </w:r>
                  <w:r w:rsidR="00991C85">
                    <w:rPr>
                      <w:rFonts w:ascii="Arial" w:hAnsi="Arial" w:cs="Arial"/>
                      <w:sz w:val="20"/>
                      <w:szCs w:val="20"/>
                    </w:rPr>
                    <w:t>i</w:t>
                  </w:r>
                  <w:r w:rsidRPr="006372C2">
                    <w:rPr>
                      <w:rFonts w:ascii="Arial" w:hAnsi="Arial" w:cs="Arial"/>
                      <w:sz w:val="20"/>
                      <w:szCs w:val="20"/>
                    </w:rPr>
                    <w:t xml:space="preserve">nternal </w:t>
                  </w:r>
                  <w:r w:rsidR="00991C85">
                    <w:rPr>
                      <w:rFonts w:ascii="Arial" w:hAnsi="Arial" w:cs="Arial"/>
                      <w:sz w:val="20"/>
                      <w:szCs w:val="20"/>
                    </w:rPr>
                    <w:t>a</w:t>
                  </w:r>
                  <w:r w:rsidRPr="006372C2">
                    <w:rPr>
                      <w:rFonts w:ascii="Arial" w:hAnsi="Arial" w:cs="Arial"/>
                      <w:sz w:val="20"/>
                      <w:szCs w:val="20"/>
                    </w:rPr>
                    <w:t xml:space="preserve">udit </w:t>
                  </w:r>
                  <w:r w:rsidR="00991C85">
                    <w:rPr>
                      <w:rFonts w:ascii="Arial" w:hAnsi="Arial" w:cs="Arial"/>
                      <w:sz w:val="20"/>
                      <w:szCs w:val="20"/>
                    </w:rPr>
                    <w:t>s</w:t>
                  </w:r>
                  <w:r w:rsidRPr="006372C2">
                    <w:rPr>
                      <w:rFonts w:ascii="Arial" w:hAnsi="Arial" w:cs="Arial"/>
                      <w:sz w:val="20"/>
                      <w:szCs w:val="20"/>
                    </w:rPr>
                    <w:t>ervices</w:t>
                  </w:r>
                  <w:r w:rsidR="00B52FBE">
                    <w:rPr>
                      <w:rFonts w:ascii="Arial" w:hAnsi="Arial" w:cs="Arial"/>
                      <w:sz w:val="20"/>
                      <w:szCs w:val="20"/>
                    </w:rPr>
                    <w:t xml:space="preserve"> to a PIE audit client</w:t>
                  </w:r>
                  <w:r w:rsidRPr="006372C2">
                    <w:rPr>
                      <w:rFonts w:ascii="Arial" w:hAnsi="Arial" w:cs="Arial"/>
                      <w:sz w:val="20"/>
                      <w:szCs w:val="20"/>
                    </w:rPr>
                    <w:t xml:space="preserve">, </w:t>
                  </w:r>
                  <w:r w:rsidR="00B52FBE">
                    <w:rPr>
                      <w:rFonts w:ascii="Arial" w:hAnsi="Arial" w:cs="Arial"/>
                      <w:sz w:val="20"/>
                      <w:szCs w:val="20"/>
                    </w:rPr>
                    <w:t>which relate</w:t>
                  </w:r>
                  <w:r w:rsidR="00B52FBE" w:rsidRPr="006372C2">
                    <w:rPr>
                      <w:rFonts w:ascii="Arial" w:hAnsi="Arial" w:cs="Arial"/>
                      <w:sz w:val="20"/>
                      <w:szCs w:val="20"/>
                    </w:rPr>
                    <w:t xml:space="preserve"> </w:t>
                  </w:r>
                  <w:r w:rsidRPr="006372C2">
                    <w:rPr>
                      <w:rFonts w:ascii="Arial" w:hAnsi="Arial" w:cs="Arial"/>
                      <w:sz w:val="20"/>
                      <w:szCs w:val="20"/>
                    </w:rPr>
                    <w:t xml:space="preserve">to </w:t>
                  </w:r>
                  <w:r w:rsidR="00B52FBE">
                    <w:rPr>
                      <w:rFonts w:ascii="Arial" w:hAnsi="Arial" w:cs="Arial"/>
                      <w:sz w:val="20"/>
                      <w:szCs w:val="20"/>
                    </w:rPr>
                    <w:t xml:space="preserve">a significant part of </w:t>
                  </w:r>
                  <w:r w:rsidRPr="006372C2">
                    <w:rPr>
                      <w:rFonts w:ascii="Arial" w:hAnsi="Arial" w:cs="Arial"/>
                      <w:sz w:val="20"/>
                      <w:szCs w:val="20"/>
                    </w:rPr>
                    <w:t xml:space="preserve">internal controls over financial reporting, </w:t>
                  </w:r>
                  <w:r w:rsidR="00B52FBE">
                    <w:rPr>
                      <w:rFonts w:ascii="Arial" w:hAnsi="Arial" w:cs="Arial"/>
                      <w:sz w:val="20"/>
                      <w:szCs w:val="20"/>
                    </w:rPr>
                    <w:t xml:space="preserve">significant </w:t>
                  </w:r>
                  <w:r w:rsidRPr="006372C2">
                    <w:rPr>
                      <w:rFonts w:ascii="Arial" w:hAnsi="Arial" w:cs="Arial"/>
                      <w:sz w:val="20"/>
                      <w:szCs w:val="20"/>
                    </w:rPr>
                    <w:t xml:space="preserve">financial accounting systems or </w:t>
                  </w:r>
                  <w:r w:rsidR="00B52FBE">
                    <w:rPr>
                      <w:rFonts w:ascii="Arial" w:hAnsi="Arial" w:cs="Arial"/>
                      <w:sz w:val="20"/>
                      <w:szCs w:val="20"/>
                    </w:rPr>
                    <w:t xml:space="preserve">material amounts and </w:t>
                  </w:r>
                  <w:r w:rsidR="00113E44">
                    <w:rPr>
                      <w:rFonts w:ascii="Arial" w:hAnsi="Arial" w:cs="Arial"/>
                      <w:sz w:val="20"/>
                      <w:szCs w:val="20"/>
                    </w:rPr>
                    <w:t>disclosures, separately or in aggregate</w:t>
                  </w:r>
                  <w:r w:rsidR="00B52FBE">
                    <w:rPr>
                      <w:rFonts w:ascii="Arial" w:hAnsi="Arial" w:cs="Arial"/>
                      <w:sz w:val="20"/>
                      <w:szCs w:val="20"/>
                    </w:rPr>
                    <w:t xml:space="preserve"> in the </w:t>
                  </w:r>
                  <w:r w:rsidRPr="006372C2">
                    <w:rPr>
                      <w:rFonts w:ascii="Arial" w:hAnsi="Arial" w:cs="Arial"/>
                      <w:sz w:val="20"/>
                      <w:szCs w:val="20"/>
                    </w:rPr>
                    <w:t>financial statements</w:t>
                  </w:r>
                  <w:r w:rsidR="00991C85">
                    <w:rPr>
                      <w:rFonts w:ascii="Arial" w:hAnsi="Arial" w:cs="Arial"/>
                      <w:sz w:val="20"/>
                      <w:szCs w:val="20"/>
                    </w:rPr>
                    <w:t>.</w:t>
                  </w:r>
                </w:p>
              </w:tc>
              <w:tc>
                <w:tcPr>
                  <w:tcW w:w="2410" w:type="dxa"/>
                </w:tcPr>
                <w:p w:rsidR="00BA5313" w:rsidRPr="006372C2" w:rsidRDefault="00BA5313" w:rsidP="00A44DEE">
                  <w:pPr>
                    <w:tabs>
                      <w:tab w:val="left" w:pos="4932"/>
                    </w:tabs>
                    <w:autoSpaceDE w:val="0"/>
                    <w:autoSpaceDN w:val="0"/>
                    <w:adjustRightInd w:val="0"/>
                    <w:jc w:val="both"/>
                    <w:rPr>
                      <w:rFonts w:ascii="Arial" w:hAnsi="Arial" w:cs="Arial"/>
                      <w:b/>
                      <w:sz w:val="20"/>
                      <w:szCs w:val="20"/>
                    </w:rPr>
                  </w:pPr>
                </w:p>
              </w:tc>
            </w:tr>
            <w:tr w:rsidR="00BA5313" w:rsidRPr="006372C2" w:rsidTr="00A44DEE">
              <w:tc>
                <w:tcPr>
                  <w:tcW w:w="1951" w:type="dxa"/>
                </w:tcPr>
                <w:p w:rsidR="00BA5313" w:rsidRPr="006372C2" w:rsidRDefault="00BA5313" w:rsidP="00A44DEE">
                  <w:pPr>
                    <w:tabs>
                      <w:tab w:val="left" w:pos="4932"/>
                    </w:tabs>
                    <w:autoSpaceDE w:val="0"/>
                    <w:autoSpaceDN w:val="0"/>
                    <w:adjustRightInd w:val="0"/>
                    <w:jc w:val="both"/>
                    <w:rPr>
                      <w:rFonts w:ascii="Arial" w:hAnsi="Arial" w:cs="Arial"/>
                      <w:b/>
                      <w:sz w:val="20"/>
                      <w:szCs w:val="20"/>
                    </w:rPr>
                  </w:pPr>
                  <w:r w:rsidRPr="006372C2">
                    <w:rPr>
                      <w:rFonts w:ascii="Arial" w:hAnsi="Arial" w:cs="Arial"/>
                      <w:sz w:val="20"/>
                      <w:szCs w:val="20"/>
                    </w:rPr>
                    <w:t>Paragraph 290.203</w:t>
                  </w:r>
                </w:p>
              </w:tc>
              <w:tc>
                <w:tcPr>
                  <w:tcW w:w="3827" w:type="dxa"/>
                </w:tcPr>
                <w:p w:rsidR="00BA5313" w:rsidRPr="006372C2" w:rsidRDefault="00BA5313" w:rsidP="00B52FBE">
                  <w:pPr>
                    <w:tabs>
                      <w:tab w:val="left" w:pos="4932"/>
                    </w:tabs>
                    <w:autoSpaceDE w:val="0"/>
                    <w:autoSpaceDN w:val="0"/>
                    <w:adjustRightInd w:val="0"/>
                    <w:jc w:val="both"/>
                    <w:rPr>
                      <w:rFonts w:ascii="Arial" w:hAnsi="Arial" w:cs="Arial"/>
                      <w:b/>
                      <w:sz w:val="20"/>
                      <w:szCs w:val="20"/>
                    </w:rPr>
                  </w:pPr>
                  <w:r w:rsidRPr="006372C2">
                    <w:rPr>
                      <w:rFonts w:ascii="Arial" w:hAnsi="Arial" w:cs="Arial"/>
                      <w:sz w:val="20"/>
                      <w:szCs w:val="20"/>
                    </w:rPr>
                    <w:t>Prohibits the provision of services</w:t>
                  </w:r>
                  <w:r w:rsidR="00B52FBE">
                    <w:rPr>
                      <w:rFonts w:ascii="Arial" w:hAnsi="Arial" w:cs="Arial"/>
                      <w:sz w:val="20"/>
                      <w:szCs w:val="20"/>
                    </w:rPr>
                    <w:t xml:space="preserve"> to a PIE audit client</w:t>
                  </w:r>
                  <w:r w:rsidRPr="006372C2">
                    <w:rPr>
                      <w:rFonts w:ascii="Arial" w:hAnsi="Arial" w:cs="Arial"/>
                      <w:sz w:val="20"/>
                      <w:szCs w:val="20"/>
                    </w:rPr>
                    <w:t xml:space="preserve"> involving the design or implementation of an IT system</w:t>
                  </w:r>
                  <w:r w:rsidR="00B52FBE">
                    <w:rPr>
                      <w:rFonts w:ascii="Arial" w:hAnsi="Arial" w:cs="Arial"/>
                      <w:sz w:val="20"/>
                      <w:szCs w:val="20"/>
                    </w:rPr>
                    <w:t xml:space="preserve"> which forms a significant part of internal control over financial reporting or generates information sign</w:t>
                  </w:r>
                  <w:r w:rsidR="00D35969">
                    <w:rPr>
                      <w:rFonts w:ascii="Arial" w:hAnsi="Arial" w:cs="Arial"/>
                      <w:sz w:val="20"/>
                      <w:szCs w:val="20"/>
                    </w:rPr>
                    <w:t>ificant to the financial statements</w:t>
                  </w:r>
                  <w:r w:rsidR="00991C85">
                    <w:rPr>
                      <w:rFonts w:ascii="Arial" w:hAnsi="Arial" w:cs="Arial"/>
                      <w:sz w:val="20"/>
                      <w:szCs w:val="20"/>
                    </w:rPr>
                    <w:t>.</w:t>
                  </w:r>
                </w:p>
              </w:tc>
              <w:tc>
                <w:tcPr>
                  <w:tcW w:w="2410" w:type="dxa"/>
                </w:tcPr>
                <w:p w:rsidR="00BA5313" w:rsidRPr="006372C2" w:rsidRDefault="00BA5313" w:rsidP="00A44DEE">
                  <w:pPr>
                    <w:tabs>
                      <w:tab w:val="left" w:pos="4932"/>
                    </w:tabs>
                    <w:autoSpaceDE w:val="0"/>
                    <w:autoSpaceDN w:val="0"/>
                    <w:adjustRightInd w:val="0"/>
                    <w:jc w:val="both"/>
                    <w:rPr>
                      <w:rFonts w:ascii="Arial" w:hAnsi="Arial" w:cs="Arial"/>
                      <w:b/>
                      <w:sz w:val="20"/>
                      <w:szCs w:val="20"/>
                    </w:rPr>
                  </w:pPr>
                </w:p>
              </w:tc>
            </w:tr>
            <w:tr w:rsidR="00BA5313" w:rsidRPr="006372C2" w:rsidTr="00A44DEE">
              <w:tc>
                <w:tcPr>
                  <w:tcW w:w="1951" w:type="dxa"/>
                </w:tcPr>
                <w:p w:rsidR="00BA5313" w:rsidRPr="006372C2" w:rsidRDefault="00BA5313" w:rsidP="00A44DEE">
                  <w:pPr>
                    <w:tabs>
                      <w:tab w:val="left" w:pos="4932"/>
                    </w:tabs>
                    <w:autoSpaceDE w:val="0"/>
                    <w:autoSpaceDN w:val="0"/>
                    <w:adjustRightInd w:val="0"/>
                    <w:jc w:val="both"/>
                    <w:rPr>
                      <w:rFonts w:ascii="Arial" w:hAnsi="Arial" w:cs="Arial"/>
                      <w:b/>
                      <w:sz w:val="20"/>
                      <w:szCs w:val="20"/>
                    </w:rPr>
                  </w:pPr>
                  <w:r w:rsidRPr="006372C2">
                    <w:rPr>
                      <w:rFonts w:ascii="Arial" w:hAnsi="Arial" w:cs="Arial"/>
                      <w:sz w:val="20"/>
                      <w:szCs w:val="20"/>
                    </w:rPr>
                    <w:t>Paragraph 290.212</w:t>
                  </w:r>
                </w:p>
              </w:tc>
              <w:tc>
                <w:tcPr>
                  <w:tcW w:w="3827" w:type="dxa"/>
                </w:tcPr>
                <w:p w:rsidR="00BA5313" w:rsidRPr="006372C2" w:rsidRDefault="00BA5313" w:rsidP="00D35969">
                  <w:pPr>
                    <w:tabs>
                      <w:tab w:val="left" w:pos="4932"/>
                    </w:tabs>
                    <w:autoSpaceDE w:val="0"/>
                    <w:autoSpaceDN w:val="0"/>
                    <w:adjustRightInd w:val="0"/>
                    <w:jc w:val="both"/>
                    <w:rPr>
                      <w:rFonts w:ascii="Arial" w:hAnsi="Arial" w:cs="Arial"/>
                      <w:b/>
                      <w:sz w:val="20"/>
                      <w:szCs w:val="20"/>
                    </w:rPr>
                  </w:pPr>
                  <w:r w:rsidRPr="006372C2">
                    <w:rPr>
                      <w:rFonts w:ascii="Arial" w:hAnsi="Arial" w:cs="Arial"/>
                      <w:sz w:val="20"/>
                      <w:szCs w:val="20"/>
                    </w:rPr>
                    <w:t>Prohibits the provision of recruiting</w:t>
                  </w:r>
                  <w:r w:rsidR="00D35969">
                    <w:rPr>
                      <w:rFonts w:ascii="Arial" w:hAnsi="Arial" w:cs="Arial"/>
                      <w:sz w:val="20"/>
                      <w:szCs w:val="20"/>
                    </w:rPr>
                    <w:t xml:space="preserve"> services to a PIE audit client for</w:t>
                  </w:r>
                  <w:r w:rsidRPr="006372C2">
                    <w:rPr>
                      <w:rFonts w:ascii="Arial" w:hAnsi="Arial" w:cs="Arial"/>
                      <w:sz w:val="20"/>
                      <w:szCs w:val="20"/>
                    </w:rPr>
                    <w:t xml:space="preserve"> directors/officers or senior management who will have significant influence over </w:t>
                  </w:r>
                  <w:r w:rsidRPr="006372C2">
                    <w:rPr>
                      <w:rFonts w:ascii="Arial" w:hAnsi="Arial" w:cs="Arial"/>
                      <w:sz w:val="20"/>
                      <w:szCs w:val="20"/>
                    </w:rPr>
                    <w:lastRenderedPageBreak/>
                    <w:t>accounting records or financial statements</w:t>
                  </w:r>
                  <w:r w:rsidR="00991C85">
                    <w:rPr>
                      <w:rFonts w:ascii="Arial" w:hAnsi="Arial" w:cs="Arial"/>
                      <w:sz w:val="20"/>
                      <w:szCs w:val="20"/>
                    </w:rPr>
                    <w:t>.</w:t>
                  </w:r>
                </w:p>
              </w:tc>
              <w:tc>
                <w:tcPr>
                  <w:tcW w:w="2410" w:type="dxa"/>
                </w:tcPr>
                <w:p w:rsidR="00BA5313" w:rsidRPr="006372C2" w:rsidRDefault="00BA5313" w:rsidP="00A44DEE">
                  <w:pPr>
                    <w:tabs>
                      <w:tab w:val="left" w:pos="4932"/>
                    </w:tabs>
                    <w:autoSpaceDE w:val="0"/>
                    <w:autoSpaceDN w:val="0"/>
                    <w:adjustRightInd w:val="0"/>
                    <w:jc w:val="both"/>
                    <w:rPr>
                      <w:rFonts w:ascii="Arial" w:hAnsi="Arial" w:cs="Arial"/>
                      <w:b/>
                      <w:sz w:val="20"/>
                      <w:szCs w:val="20"/>
                    </w:rPr>
                  </w:pPr>
                </w:p>
              </w:tc>
            </w:tr>
            <w:tr w:rsidR="00BA5313" w:rsidRPr="006372C2" w:rsidTr="00A44DEE">
              <w:tc>
                <w:tcPr>
                  <w:tcW w:w="1951" w:type="dxa"/>
                </w:tcPr>
                <w:p w:rsidR="00BA5313" w:rsidRPr="006372C2" w:rsidRDefault="00BA5313" w:rsidP="00A44DEE">
                  <w:pPr>
                    <w:tabs>
                      <w:tab w:val="left" w:pos="4932"/>
                    </w:tabs>
                    <w:autoSpaceDE w:val="0"/>
                    <w:autoSpaceDN w:val="0"/>
                    <w:adjustRightInd w:val="0"/>
                    <w:jc w:val="both"/>
                    <w:rPr>
                      <w:rFonts w:ascii="Arial" w:hAnsi="Arial" w:cs="Arial"/>
                      <w:b/>
                      <w:sz w:val="20"/>
                      <w:szCs w:val="20"/>
                    </w:rPr>
                  </w:pPr>
                  <w:r w:rsidRPr="006372C2">
                    <w:rPr>
                      <w:rFonts w:ascii="Arial" w:hAnsi="Arial" w:cs="Arial"/>
                      <w:sz w:val="20"/>
                      <w:szCs w:val="20"/>
                    </w:rPr>
                    <w:t>Paragraph 290.219</w:t>
                  </w:r>
                </w:p>
              </w:tc>
              <w:tc>
                <w:tcPr>
                  <w:tcW w:w="3827" w:type="dxa"/>
                </w:tcPr>
                <w:p w:rsidR="00BA5313" w:rsidRPr="000859A2" w:rsidRDefault="00D35969" w:rsidP="005F04BF">
                  <w:pPr>
                    <w:tabs>
                      <w:tab w:val="left" w:pos="4932"/>
                    </w:tabs>
                    <w:autoSpaceDE w:val="0"/>
                    <w:autoSpaceDN w:val="0"/>
                    <w:adjustRightInd w:val="0"/>
                    <w:jc w:val="both"/>
                    <w:rPr>
                      <w:rFonts w:ascii="Arial" w:hAnsi="Arial" w:cs="Arial"/>
                      <w:sz w:val="20"/>
                      <w:szCs w:val="20"/>
                    </w:rPr>
                  </w:pPr>
                  <w:r>
                    <w:rPr>
                      <w:rFonts w:ascii="Arial" w:hAnsi="Arial" w:cs="Arial"/>
                      <w:sz w:val="20"/>
                      <w:szCs w:val="20"/>
                    </w:rPr>
                    <w:t xml:space="preserve">Independence threats and safeguards must be discussed with the audit committee if </w:t>
                  </w:r>
                  <w:r w:rsidR="00BA5313" w:rsidRPr="006372C2">
                    <w:rPr>
                      <w:rFonts w:ascii="Arial" w:hAnsi="Arial" w:cs="Arial"/>
                      <w:sz w:val="20"/>
                      <w:szCs w:val="20"/>
                    </w:rPr>
                    <w:t xml:space="preserve">in two consecutive years the total </w:t>
                  </w:r>
                  <w:r>
                    <w:rPr>
                      <w:rFonts w:ascii="Arial" w:hAnsi="Arial" w:cs="Arial"/>
                      <w:sz w:val="20"/>
                      <w:szCs w:val="20"/>
                    </w:rPr>
                    <w:t>fees</w:t>
                  </w:r>
                  <w:r w:rsidRPr="006372C2">
                    <w:rPr>
                      <w:rFonts w:ascii="Arial" w:hAnsi="Arial" w:cs="Arial"/>
                      <w:sz w:val="20"/>
                      <w:szCs w:val="20"/>
                    </w:rPr>
                    <w:t xml:space="preserve"> </w:t>
                  </w:r>
                  <w:r w:rsidR="00BA5313" w:rsidRPr="006372C2">
                    <w:rPr>
                      <w:rFonts w:ascii="Arial" w:hAnsi="Arial" w:cs="Arial"/>
                      <w:sz w:val="20"/>
                      <w:szCs w:val="20"/>
                    </w:rPr>
                    <w:t xml:space="preserve">from </w:t>
                  </w:r>
                  <w:r w:rsidR="005F04BF">
                    <w:rPr>
                      <w:rFonts w:ascii="Arial" w:hAnsi="Arial" w:cs="Arial"/>
                      <w:sz w:val="20"/>
                      <w:szCs w:val="20"/>
                    </w:rPr>
                    <w:t>the</w:t>
                  </w:r>
                  <w:r>
                    <w:rPr>
                      <w:rFonts w:ascii="Arial" w:hAnsi="Arial" w:cs="Arial"/>
                      <w:sz w:val="20"/>
                      <w:szCs w:val="20"/>
                    </w:rPr>
                    <w:t xml:space="preserve"> PIE audit</w:t>
                  </w:r>
                  <w:r w:rsidRPr="006372C2">
                    <w:rPr>
                      <w:rFonts w:ascii="Arial" w:hAnsi="Arial" w:cs="Arial"/>
                      <w:sz w:val="20"/>
                      <w:szCs w:val="20"/>
                    </w:rPr>
                    <w:t xml:space="preserve"> </w:t>
                  </w:r>
                  <w:r w:rsidR="00BA5313" w:rsidRPr="006372C2">
                    <w:rPr>
                      <w:rFonts w:ascii="Arial" w:hAnsi="Arial" w:cs="Arial"/>
                      <w:sz w:val="20"/>
                      <w:szCs w:val="20"/>
                    </w:rPr>
                    <w:t xml:space="preserve">client </w:t>
                  </w:r>
                  <w:r>
                    <w:rPr>
                      <w:rFonts w:ascii="Arial" w:hAnsi="Arial" w:cs="Arial"/>
                      <w:sz w:val="20"/>
                      <w:szCs w:val="20"/>
                    </w:rPr>
                    <w:t>are</w:t>
                  </w:r>
                  <w:r w:rsidRPr="006372C2">
                    <w:rPr>
                      <w:rFonts w:ascii="Arial" w:hAnsi="Arial" w:cs="Arial"/>
                      <w:sz w:val="20"/>
                      <w:szCs w:val="20"/>
                    </w:rPr>
                    <w:t xml:space="preserve"> </w:t>
                  </w:r>
                  <w:r w:rsidR="00BA5313" w:rsidRPr="006372C2">
                    <w:rPr>
                      <w:rFonts w:ascii="Arial" w:hAnsi="Arial" w:cs="Arial"/>
                      <w:sz w:val="20"/>
                      <w:szCs w:val="20"/>
                    </w:rPr>
                    <w:t xml:space="preserve">greater than </w:t>
                  </w:r>
                  <w:r>
                    <w:rPr>
                      <w:rFonts w:ascii="Arial" w:hAnsi="Arial" w:cs="Arial"/>
                      <w:sz w:val="20"/>
                      <w:szCs w:val="20"/>
                    </w:rPr>
                    <w:t xml:space="preserve">15% of </w:t>
                  </w:r>
                  <w:r w:rsidR="00BA5313" w:rsidRPr="006372C2">
                    <w:rPr>
                      <w:rFonts w:ascii="Arial" w:hAnsi="Arial" w:cs="Arial"/>
                      <w:sz w:val="20"/>
                      <w:szCs w:val="20"/>
                    </w:rPr>
                    <w:t xml:space="preserve">the total </w:t>
                  </w:r>
                  <w:r>
                    <w:rPr>
                      <w:rFonts w:ascii="Arial" w:hAnsi="Arial" w:cs="Arial"/>
                      <w:sz w:val="20"/>
                      <w:szCs w:val="20"/>
                    </w:rPr>
                    <w:t>fees</w:t>
                  </w:r>
                  <w:r w:rsidRPr="006372C2">
                    <w:rPr>
                      <w:rFonts w:ascii="Arial" w:hAnsi="Arial" w:cs="Arial"/>
                      <w:sz w:val="20"/>
                      <w:szCs w:val="20"/>
                    </w:rPr>
                    <w:t xml:space="preserve"> </w:t>
                  </w:r>
                  <w:r w:rsidR="00BA5313" w:rsidRPr="006372C2">
                    <w:rPr>
                      <w:rFonts w:ascii="Arial" w:hAnsi="Arial" w:cs="Arial"/>
                      <w:sz w:val="20"/>
                      <w:szCs w:val="20"/>
                    </w:rPr>
                    <w:t>earned by the firm</w:t>
                  </w:r>
                  <w:r w:rsidR="00991C85">
                    <w:rPr>
                      <w:rFonts w:ascii="Arial" w:hAnsi="Arial" w:cs="Arial"/>
                      <w:sz w:val="20"/>
                      <w:szCs w:val="20"/>
                    </w:rPr>
                    <w:t>.</w:t>
                  </w:r>
                </w:p>
              </w:tc>
              <w:tc>
                <w:tcPr>
                  <w:tcW w:w="2410" w:type="dxa"/>
                </w:tcPr>
                <w:p w:rsidR="00BA5313" w:rsidRPr="006372C2" w:rsidRDefault="00BA5313" w:rsidP="00A44DEE">
                  <w:pPr>
                    <w:tabs>
                      <w:tab w:val="left" w:pos="4932"/>
                    </w:tabs>
                    <w:autoSpaceDE w:val="0"/>
                    <w:autoSpaceDN w:val="0"/>
                    <w:adjustRightInd w:val="0"/>
                    <w:jc w:val="both"/>
                    <w:rPr>
                      <w:rFonts w:ascii="Arial" w:hAnsi="Arial" w:cs="Arial"/>
                      <w:b/>
                      <w:sz w:val="20"/>
                      <w:szCs w:val="20"/>
                    </w:rPr>
                  </w:pPr>
                </w:p>
              </w:tc>
            </w:tr>
          </w:tbl>
          <w:p w:rsidR="00991C85" w:rsidRDefault="00991C85" w:rsidP="00D01EA1">
            <w:pPr>
              <w:jc w:val="both"/>
              <w:rPr>
                <w:rFonts w:ascii="Arial" w:hAnsi="Arial" w:cs="Arial"/>
                <w:b/>
                <w:sz w:val="22"/>
                <w:szCs w:val="22"/>
                <w:lang w:val="en-GB" w:eastAsia="en-GB"/>
              </w:rPr>
            </w:pPr>
          </w:p>
          <w:p w:rsidR="00A16147" w:rsidRDefault="00A16147" w:rsidP="00D01EA1">
            <w:pPr>
              <w:jc w:val="both"/>
              <w:rPr>
                <w:rFonts w:ascii="Arial" w:hAnsi="Arial" w:cs="Arial"/>
                <w:b/>
                <w:sz w:val="22"/>
                <w:szCs w:val="22"/>
                <w:lang w:val="en-GB" w:eastAsia="en-GB"/>
              </w:rPr>
            </w:pPr>
          </w:p>
          <w:p w:rsidR="00D01EA1" w:rsidRPr="006372C2" w:rsidRDefault="00D01EA1" w:rsidP="00D01EA1">
            <w:pPr>
              <w:jc w:val="both"/>
            </w:pPr>
            <w:r w:rsidRPr="006372C2">
              <w:rPr>
                <w:rFonts w:ascii="Arial" w:hAnsi="Arial" w:cs="Arial"/>
                <w:b/>
                <w:sz w:val="22"/>
                <w:szCs w:val="22"/>
                <w:lang w:val="en-GB" w:eastAsia="en-GB"/>
              </w:rPr>
              <w:t xml:space="preserve">Clarifying the </w:t>
            </w:r>
            <w:r w:rsidR="00991C85" w:rsidRPr="006372C2">
              <w:rPr>
                <w:rFonts w:ascii="Arial" w:hAnsi="Arial" w:cs="Arial"/>
                <w:b/>
                <w:sz w:val="22"/>
                <w:szCs w:val="22"/>
                <w:lang w:val="en-GB" w:eastAsia="en-GB"/>
              </w:rPr>
              <w:t>Difference Between</w:t>
            </w:r>
            <w:r w:rsidR="00991C85" w:rsidRPr="006372C2">
              <w:t xml:space="preserve"> </w:t>
            </w:r>
            <w:r w:rsidR="000859A2">
              <w:rPr>
                <w:rFonts w:ascii="Arial" w:hAnsi="Arial" w:cs="Arial"/>
                <w:b/>
                <w:sz w:val="22"/>
                <w:szCs w:val="22"/>
                <w:lang w:val="en-GB" w:eastAsia="en-GB"/>
              </w:rPr>
              <w:t>PIE</w:t>
            </w:r>
            <w:r w:rsidRPr="006372C2">
              <w:rPr>
                <w:rFonts w:ascii="Arial" w:hAnsi="Arial" w:cs="Arial"/>
                <w:b/>
                <w:sz w:val="22"/>
                <w:szCs w:val="22"/>
                <w:lang w:val="en-GB" w:eastAsia="en-GB"/>
              </w:rPr>
              <w:t xml:space="preserve"> and</w:t>
            </w:r>
            <w:r w:rsidR="00E047CD">
              <w:rPr>
                <w:rFonts w:ascii="Arial" w:hAnsi="Arial" w:cs="Arial"/>
                <w:b/>
                <w:sz w:val="22"/>
                <w:szCs w:val="22"/>
                <w:lang w:val="en-GB" w:eastAsia="en-GB"/>
              </w:rPr>
              <w:t xml:space="preserve"> the</w:t>
            </w:r>
            <w:r w:rsidRPr="006372C2">
              <w:rPr>
                <w:rFonts w:ascii="Arial" w:hAnsi="Arial" w:cs="Arial"/>
                <w:b/>
                <w:sz w:val="22"/>
                <w:szCs w:val="22"/>
                <w:lang w:val="en-GB" w:eastAsia="en-GB"/>
              </w:rPr>
              <w:t xml:space="preserve"> Public Interest Score</w:t>
            </w:r>
            <w:r w:rsidR="000859A2">
              <w:rPr>
                <w:rFonts w:ascii="Arial" w:hAnsi="Arial" w:cs="Arial"/>
                <w:b/>
                <w:sz w:val="22"/>
                <w:szCs w:val="22"/>
                <w:lang w:val="en-GB" w:eastAsia="en-GB"/>
              </w:rPr>
              <w:t xml:space="preserve"> (PIS)</w:t>
            </w:r>
          </w:p>
          <w:p w:rsidR="00D01EA1" w:rsidRPr="006372C2" w:rsidRDefault="005A0655" w:rsidP="00D01EA1">
            <w:pPr>
              <w:jc w:val="both"/>
              <w:rPr>
                <w:rFonts w:ascii="Arial" w:hAnsi="Arial" w:cs="Arial"/>
                <w:sz w:val="22"/>
                <w:szCs w:val="22"/>
              </w:rPr>
            </w:pPr>
            <w:r>
              <w:rPr>
                <w:rFonts w:ascii="Arial" w:hAnsi="Arial" w:cs="Arial"/>
                <w:sz w:val="22"/>
                <w:szCs w:val="22"/>
              </w:rPr>
              <w:t>The CFAE considered</w:t>
            </w:r>
            <w:r w:rsidR="00D01EA1" w:rsidRPr="006372C2">
              <w:rPr>
                <w:rFonts w:ascii="Arial" w:hAnsi="Arial" w:cs="Arial"/>
                <w:sz w:val="22"/>
                <w:szCs w:val="22"/>
              </w:rPr>
              <w:t xml:space="preserve"> </w:t>
            </w:r>
            <w:r w:rsidR="00633E48">
              <w:rPr>
                <w:rFonts w:ascii="Arial" w:hAnsi="Arial" w:cs="Arial"/>
                <w:sz w:val="22"/>
                <w:szCs w:val="22"/>
              </w:rPr>
              <w:t>whether there is a</w:t>
            </w:r>
            <w:r w:rsidR="00633E48" w:rsidRPr="006372C2">
              <w:rPr>
                <w:rFonts w:ascii="Arial" w:hAnsi="Arial" w:cs="Arial"/>
                <w:sz w:val="22"/>
                <w:szCs w:val="22"/>
              </w:rPr>
              <w:t xml:space="preserve"> </w:t>
            </w:r>
            <w:r w:rsidR="00D01EA1" w:rsidRPr="006372C2">
              <w:rPr>
                <w:rFonts w:ascii="Arial" w:hAnsi="Arial" w:cs="Arial"/>
                <w:sz w:val="22"/>
                <w:szCs w:val="22"/>
              </w:rPr>
              <w:t xml:space="preserve">relationship between the </w:t>
            </w:r>
            <w:r w:rsidR="00991C85">
              <w:rPr>
                <w:rFonts w:ascii="Arial" w:hAnsi="Arial" w:cs="Arial"/>
                <w:sz w:val="22"/>
                <w:szCs w:val="22"/>
              </w:rPr>
              <w:t>p</w:t>
            </w:r>
            <w:r w:rsidR="00D01EA1" w:rsidRPr="006372C2">
              <w:rPr>
                <w:rFonts w:ascii="Arial" w:hAnsi="Arial" w:cs="Arial"/>
                <w:sz w:val="22"/>
                <w:szCs w:val="22"/>
              </w:rPr>
              <w:t xml:space="preserve">ublic </w:t>
            </w:r>
            <w:r w:rsidR="00991C85">
              <w:rPr>
                <w:rFonts w:ascii="Arial" w:hAnsi="Arial" w:cs="Arial"/>
                <w:sz w:val="22"/>
                <w:szCs w:val="22"/>
              </w:rPr>
              <w:t>i</w:t>
            </w:r>
            <w:r w:rsidR="00D01EA1" w:rsidRPr="006372C2">
              <w:rPr>
                <w:rFonts w:ascii="Arial" w:hAnsi="Arial" w:cs="Arial"/>
                <w:sz w:val="22"/>
                <w:szCs w:val="22"/>
              </w:rPr>
              <w:t xml:space="preserve">nterest </w:t>
            </w:r>
            <w:r w:rsidR="00991C85">
              <w:rPr>
                <w:rFonts w:ascii="Arial" w:hAnsi="Arial" w:cs="Arial"/>
                <w:sz w:val="22"/>
                <w:szCs w:val="22"/>
              </w:rPr>
              <w:t>s</w:t>
            </w:r>
            <w:r w:rsidR="00D01EA1" w:rsidRPr="006372C2">
              <w:rPr>
                <w:rFonts w:ascii="Arial" w:hAnsi="Arial" w:cs="Arial"/>
                <w:sz w:val="22"/>
                <w:szCs w:val="22"/>
              </w:rPr>
              <w:t xml:space="preserve">core (PIS) in the Companies Act 2008, (Act No.71 of 2008) and </w:t>
            </w:r>
            <w:r w:rsidR="00633E48">
              <w:rPr>
                <w:rFonts w:ascii="Arial" w:hAnsi="Arial" w:cs="Arial"/>
                <w:sz w:val="22"/>
                <w:szCs w:val="22"/>
              </w:rPr>
              <w:t xml:space="preserve">the </w:t>
            </w:r>
            <w:r w:rsidR="006372C2" w:rsidRPr="006372C2">
              <w:rPr>
                <w:rFonts w:ascii="Arial" w:hAnsi="Arial" w:cs="Arial"/>
                <w:sz w:val="22"/>
                <w:szCs w:val="22"/>
              </w:rPr>
              <w:t>PIE</w:t>
            </w:r>
            <w:r w:rsidR="00D01EA1" w:rsidRPr="006372C2">
              <w:rPr>
                <w:rFonts w:ascii="Arial" w:hAnsi="Arial" w:cs="Arial"/>
                <w:sz w:val="22"/>
                <w:szCs w:val="22"/>
              </w:rPr>
              <w:t xml:space="preserve"> </w:t>
            </w:r>
            <w:r w:rsidR="00633E48">
              <w:rPr>
                <w:rFonts w:ascii="Arial" w:hAnsi="Arial" w:cs="Arial"/>
                <w:sz w:val="22"/>
                <w:szCs w:val="22"/>
              </w:rPr>
              <w:t xml:space="preserve">definition in the IRBA Code, </w:t>
            </w:r>
            <w:r w:rsidR="00D01EA1" w:rsidRPr="006372C2">
              <w:rPr>
                <w:rFonts w:ascii="Arial" w:hAnsi="Arial" w:cs="Arial"/>
                <w:sz w:val="22"/>
                <w:szCs w:val="22"/>
              </w:rPr>
              <w:t>in drafting the</w:t>
            </w:r>
            <w:r>
              <w:rPr>
                <w:rFonts w:ascii="Arial" w:hAnsi="Arial" w:cs="Arial"/>
                <w:sz w:val="22"/>
                <w:szCs w:val="22"/>
              </w:rPr>
              <w:t>se</w:t>
            </w:r>
            <w:r w:rsidR="00D01EA1" w:rsidRPr="006372C2">
              <w:rPr>
                <w:rFonts w:ascii="Arial" w:hAnsi="Arial" w:cs="Arial"/>
                <w:sz w:val="22"/>
                <w:szCs w:val="22"/>
              </w:rPr>
              <w:t xml:space="preserve"> amendment</w:t>
            </w:r>
            <w:r w:rsidR="000859A2">
              <w:rPr>
                <w:rFonts w:ascii="Arial" w:hAnsi="Arial" w:cs="Arial"/>
                <w:sz w:val="22"/>
                <w:szCs w:val="22"/>
              </w:rPr>
              <w:t>s</w:t>
            </w:r>
            <w:r w:rsidR="00D01EA1" w:rsidRPr="006372C2">
              <w:rPr>
                <w:rFonts w:ascii="Arial" w:hAnsi="Arial" w:cs="Arial"/>
                <w:sz w:val="22"/>
                <w:szCs w:val="22"/>
              </w:rPr>
              <w:t>.</w:t>
            </w:r>
            <w:r w:rsidR="00633E48">
              <w:rPr>
                <w:rFonts w:ascii="Arial" w:hAnsi="Arial" w:cs="Arial"/>
                <w:sz w:val="22"/>
                <w:szCs w:val="22"/>
              </w:rPr>
              <w:t xml:space="preserve"> </w:t>
            </w:r>
            <w:r w:rsidR="00633E48" w:rsidRPr="00633E48">
              <w:rPr>
                <w:rFonts w:ascii="Arial" w:hAnsi="Arial" w:cs="Arial"/>
                <w:sz w:val="22"/>
                <w:szCs w:val="22"/>
              </w:rPr>
              <w:t>The proposed amendment clarifies the definition of public interest entity. In doing so, it will distance the definition of Public Interest Entity from the calculation of Public Interest Score in the Companies Act 2008 (Act No. 71 of 2008).</w:t>
            </w:r>
          </w:p>
          <w:p w:rsidR="00F22110" w:rsidRPr="006372C2" w:rsidRDefault="00F22110" w:rsidP="00873E5B">
            <w:pPr>
              <w:autoSpaceDE w:val="0"/>
              <w:autoSpaceDN w:val="0"/>
              <w:adjustRightInd w:val="0"/>
              <w:spacing w:after="120" w:line="271" w:lineRule="auto"/>
              <w:jc w:val="both"/>
              <w:rPr>
                <w:rFonts w:ascii="Arial" w:hAnsi="Arial" w:cs="Arial"/>
                <w:sz w:val="22"/>
                <w:szCs w:val="22"/>
              </w:rPr>
            </w:pPr>
          </w:p>
          <w:p w:rsidR="00490511" w:rsidRPr="006372C2" w:rsidRDefault="00490511" w:rsidP="00873E5B">
            <w:pPr>
              <w:pStyle w:val="FootnoteText"/>
              <w:ind w:right="-172"/>
              <w:jc w:val="both"/>
              <w:rPr>
                <w:rFonts w:ascii="Arial" w:hAnsi="Arial" w:cs="Arial"/>
                <w:b/>
                <w:sz w:val="22"/>
                <w:szCs w:val="22"/>
              </w:rPr>
            </w:pPr>
            <w:r w:rsidRPr="006372C2">
              <w:rPr>
                <w:rFonts w:ascii="Arial" w:hAnsi="Arial" w:cs="Arial"/>
                <w:b/>
                <w:sz w:val="22"/>
                <w:szCs w:val="22"/>
              </w:rPr>
              <w:t xml:space="preserve">Effective </w:t>
            </w:r>
            <w:r w:rsidR="00991C85">
              <w:rPr>
                <w:rFonts w:ascii="Arial" w:hAnsi="Arial" w:cs="Arial"/>
                <w:b/>
                <w:sz w:val="22"/>
                <w:szCs w:val="22"/>
              </w:rPr>
              <w:t>D</w:t>
            </w:r>
            <w:r w:rsidRPr="006372C2">
              <w:rPr>
                <w:rFonts w:ascii="Arial" w:hAnsi="Arial" w:cs="Arial"/>
                <w:b/>
                <w:sz w:val="22"/>
                <w:szCs w:val="22"/>
              </w:rPr>
              <w:t>ate</w:t>
            </w:r>
          </w:p>
          <w:p w:rsidR="00D01EA1" w:rsidRDefault="00601BA3" w:rsidP="0002385D">
            <w:pPr>
              <w:jc w:val="both"/>
              <w:rPr>
                <w:rFonts w:ascii="Arial" w:hAnsi="Arial" w:cs="Arial"/>
                <w:sz w:val="22"/>
                <w:szCs w:val="22"/>
              </w:rPr>
            </w:pPr>
            <w:r w:rsidRPr="006372C2">
              <w:rPr>
                <w:rFonts w:ascii="Arial" w:hAnsi="Arial" w:cs="Arial"/>
                <w:sz w:val="22"/>
                <w:szCs w:val="22"/>
              </w:rPr>
              <w:t xml:space="preserve">In order to facilitate </w:t>
            </w:r>
            <w:r w:rsidR="00991C85">
              <w:rPr>
                <w:rFonts w:ascii="Arial" w:hAnsi="Arial" w:cs="Arial"/>
                <w:sz w:val="22"/>
                <w:szCs w:val="22"/>
              </w:rPr>
              <w:t xml:space="preserve">the </w:t>
            </w:r>
            <w:r w:rsidRPr="006372C2">
              <w:rPr>
                <w:rFonts w:ascii="Arial" w:hAnsi="Arial" w:cs="Arial"/>
                <w:sz w:val="22"/>
                <w:szCs w:val="22"/>
              </w:rPr>
              <w:t>implementation of the</w:t>
            </w:r>
            <w:r w:rsidR="00D84E6D">
              <w:rPr>
                <w:rFonts w:ascii="Arial" w:hAnsi="Arial" w:cs="Arial"/>
                <w:sz w:val="22"/>
                <w:szCs w:val="22"/>
              </w:rPr>
              <w:t xml:space="preserve"> amendments to the</w:t>
            </w:r>
            <w:r w:rsidRPr="006372C2">
              <w:rPr>
                <w:rFonts w:ascii="Arial" w:hAnsi="Arial" w:cs="Arial"/>
                <w:sz w:val="22"/>
                <w:szCs w:val="22"/>
              </w:rPr>
              <w:t xml:space="preserve"> IRBA Code, </w:t>
            </w:r>
            <w:r w:rsidR="00D84E6D">
              <w:rPr>
                <w:rFonts w:ascii="Arial" w:hAnsi="Arial" w:cs="Arial"/>
                <w:sz w:val="22"/>
                <w:szCs w:val="22"/>
              </w:rPr>
              <w:t>including their</w:t>
            </w:r>
            <w:r w:rsidRPr="006372C2">
              <w:rPr>
                <w:rFonts w:ascii="Arial" w:hAnsi="Arial" w:cs="Arial"/>
                <w:sz w:val="22"/>
                <w:szCs w:val="22"/>
              </w:rPr>
              <w:t xml:space="preserve"> impact on the inspections, investigations and disciplinary functions of the IRBA, it is proposed that the amendments be effective on or after 1 July 2016.</w:t>
            </w:r>
            <w:r w:rsidR="001D523A" w:rsidRPr="006372C2">
              <w:rPr>
                <w:rFonts w:ascii="Arial" w:hAnsi="Arial" w:cs="Arial"/>
                <w:sz w:val="22"/>
                <w:szCs w:val="22"/>
              </w:rPr>
              <w:t xml:space="preserve"> </w:t>
            </w:r>
          </w:p>
          <w:p w:rsidR="0002385D" w:rsidRPr="006372C2" w:rsidRDefault="0002385D" w:rsidP="0002385D">
            <w:pPr>
              <w:jc w:val="both"/>
              <w:rPr>
                <w:rFonts w:ascii="Arial" w:hAnsi="Arial" w:cs="Arial"/>
                <w:sz w:val="22"/>
                <w:szCs w:val="22"/>
              </w:rPr>
            </w:pPr>
          </w:p>
          <w:p w:rsidR="00601BA3" w:rsidRDefault="005A0655" w:rsidP="0002385D">
            <w:pPr>
              <w:jc w:val="both"/>
              <w:rPr>
                <w:rFonts w:ascii="Arial" w:hAnsi="Arial" w:cs="Arial"/>
                <w:sz w:val="22"/>
                <w:szCs w:val="22"/>
              </w:rPr>
            </w:pPr>
            <w:r>
              <w:rPr>
                <w:rFonts w:ascii="Arial" w:hAnsi="Arial" w:cs="Arial"/>
                <w:sz w:val="22"/>
                <w:szCs w:val="22"/>
              </w:rPr>
              <w:t>A Board Notice will be published</w:t>
            </w:r>
            <w:r w:rsidR="00D01EA1" w:rsidRPr="006372C2">
              <w:rPr>
                <w:rFonts w:ascii="Arial" w:hAnsi="Arial" w:cs="Arial"/>
                <w:sz w:val="22"/>
                <w:szCs w:val="22"/>
              </w:rPr>
              <w:t xml:space="preserve"> in the Government Gazette, advising</w:t>
            </w:r>
            <w:r>
              <w:rPr>
                <w:rFonts w:ascii="Arial" w:hAnsi="Arial" w:cs="Arial"/>
                <w:sz w:val="22"/>
                <w:szCs w:val="22"/>
              </w:rPr>
              <w:t xml:space="preserve"> of</w:t>
            </w:r>
            <w:r w:rsidR="00D01EA1" w:rsidRPr="006372C2">
              <w:rPr>
                <w:rFonts w:ascii="Arial" w:hAnsi="Arial" w:cs="Arial"/>
                <w:sz w:val="22"/>
                <w:szCs w:val="22"/>
              </w:rPr>
              <w:t xml:space="preserve"> the publication of the amendments to the IRBA</w:t>
            </w:r>
            <w:r w:rsidR="00D01EA1" w:rsidRPr="000859A2">
              <w:rPr>
                <w:rFonts w:ascii="Arial" w:hAnsi="Arial" w:cs="Arial"/>
                <w:sz w:val="22"/>
                <w:szCs w:val="22"/>
              </w:rPr>
              <w:t xml:space="preserve"> Code</w:t>
            </w:r>
            <w:r w:rsidR="00D01EA1" w:rsidRPr="0002385D">
              <w:rPr>
                <w:rFonts w:ascii="Arial" w:hAnsi="Arial" w:cs="Arial"/>
                <w:sz w:val="22"/>
                <w:szCs w:val="22"/>
              </w:rPr>
              <w:t xml:space="preserve"> </w:t>
            </w:r>
            <w:r w:rsidR="00D01EA1" w:rsidRPr="006372C2">
              <w:rPr>
                <w:rFonts w:ascii="Arial" w:hAnsi="Arial" w:cs="Arial"/>
                <w:sz w:val="22"/>
                <w:szCs w:val="22"/>
              </w:rPr>
              <w:t xml:space="preserve">pursuant to the provisions of </w:t>
            </w:r>
            <w:r w:rsidR="00991C85">
              <w:rPr>
                <w:rFonts w:ascii="Arial" w:hAnsi="Arial" w:cs="Arial"/>
                <w:sz w:val="22"/>
                <w:szCs w:val="22"/>
              </w:rPr>
              <w:t>S</w:t>
            </w:r>
            <w:r w:rsidR="00D01EA1" w:rsidRPr="006372C2">
              <w:rPr>
                <w:rFonts w:ascii="Arial" w:hAnsi="Arial" w:cs="Arial"/>
                <w:sz w:val="22"/>
                <w:szCs w:val="22"/>
              </w:rPr>
              <w:t>ection 10(1)(a) of the Auditing Profession Act, 2005 (Act No.26 of 2005).</w:t>
            </w:r>
          </w:p>
          <w:p w:rsidR="0002385D" w:rsidRPr="006372C2" w:rsidRDefault="0002385D" w:rsidP="0002385D">
            <w:pPr>
              <w:jc w:val="both"/>
              <w:rPr>
                <w:rFonts w:ascii="Arial" w:hAnsi="Arial" w:cs="Arial"/>
                <w:sz w:val="22"/>
                <w:szCs w:val="22"/>
              </w:rPr>
            </w:pPr>
          </w:p>
          <w:p w:rsidR="00490511" w:rsidRPr="006372C2" w:rsidRDefault="00490511" w:rsidP="00490511">
            <w:pPr>
              <w:ind w:right="253"/>
              <w:jc w:val="both"/>
              <w:rPr>
                <w:rFonts w:ascii="Arial" w:hAnsi="Arial" w:cs="Arial"/>
                <w:sz w:val="22"/>
                <w:szCs w:val="22"/>
              </w:rPr>
            </w:pPr>
            <w:r w:rsidRPr="006372C2">
              <w:rPr>
                <w:rFonts w:ascii="Arial" w:hAnsi="Arial" w:cs="Arial"/>
                <w:sz w:val="22"/>
                <w:szCs w:val="22"/>
              </w:rPr>
              <w:t>The</w:t>
            </w:r>
            <w:r w:rsidR="00873E5B" w:rsidRPr="006372C2">
              <w:rPr>
                <w:rFonts w:ascii="Arial" w:hAnsi="Arial" w:cs="Arial"/>
                <w:sz w:val="22"/>
                <w:szCs w:val="22"/>
              </w:rPr>
              <w:t xml:space="preserve"> a</w:t>
            </w:r>
            <w:r w:rsidR="00CB6B61" w:rsidRPr="006372C2">
              <w:rPr>
                <w:rFonts w:ascii="Arial" w:hAnsi="Arial" w:cs="Arial"/>
                <w:sz w:val="22"/>
                <w:szCs w:val="22"/>
              </w:rPr>
              <w:t>mendments to the</w:t>
            </w:r>
            <w:r w:rsidRPr="006372C2">
              <w:rPr>
                <w:rFonts w:ascii="Arial" w:hAnsi="Arial" w:cs="Arial"/>
                <w:sz w:val="22"/>
                <w:szCs w:val="22"/>
              </w:rPr>
              <w:t xml:space="preserve"> IRBA</w:t>
            </w:r>
            <w:r w:rsidRPr="00E047CD">
              <w:rPr>
                <w:rFonts w:ascii="Arial" w:hAnsi="Arial" w:cs="Arial"/>
                <w:sz w:val="22"/>
                <w:szCs w:val="22"/>
              </w:rPr>
              <w:t xml:space="preserve"> </w:t>
            </w:r>
            <w:r w:rsidR="00E047CD" w:rsidRPr="00E047CD">
              <w:rPr>
                <w:rFonts w:ascii="Arial" w:hAnsi="Arial" w:cs="Arial"/>
                <w:sz w:val="22"/>
                <w:szCs w:val="22"/>
              </w:rPr>
              <w:t>Code</w:t>
            </w:r>
            <w:r w:rsidRPr="006372C2">
              <w:rPr>
                <w:rFonts w:ascii="Arial" w:hAnsi="Arial" w:cs="Arial"/>
                <w:sz w:val="22"/>
                <w:szCs w:val="22"/>
              </w:rPr>
              <w:t xml:space="preserve"> </w:t>
            </w:r>
            <w:r w:rsidR="000859A2">
              <w:rPr>
                <w:rFonts w:ascii="Arial" w:hAnsi="Arial" w:cs="Arial"/>
                <w:sz w:val="22"/>
                <w:szCs w:val="22"/>
              </w:rPr>
              <w:t>may be downloaded from the IRBA</w:t>
            </w:r>
            <w:r w:rsidRPr="006372C2">
              <w:rPr>
                <w:rFonts w:ascii="Arial" w:hAnsi="Arial" w:cs="Arial"/>
                <w:sz w:val="22"/>
                <w:szCs w:val="22"/>
              </w:rPr>
              <w:t xml:space="preserve"> </w:t>
            </w:r>
            <w:hyperlink r:id="rId7" w:history="1">
              <w:r w:rsidRPr="006372C2">
                <w:rPr>
                  <w:rStyle w:val="Hyperlink"/>
                  <w:rFonts w:ascii="Arial" w:hAnsi="Arial" w:cs="Arial"/>
                  <w:sz w:val="22"/>
                  <w:szCs w:val="22"/>
                </w:rPr>
                <w:t>website</w:t>
              </w:r>
            </w:hyperlink>
            <w:r w:rsidRPr="006372C2">
              <w:rPr>
                <w:rFonts w:ascii="Arial" w:hAnsi="Arial" w:cs="Arial"/>
                <w:sz w:val="22"/>
                <w:szCs w:val="22"/>
              </w:rPr>
              <w:t xml:space="preserve">. </w:t>
            </w:r>
          </w:p>
          <w:p w:rsidR="00490511" w:rsidRPr="006372C2" w:rsidRDefault="00490511" w:rsidP="0002385D">
            <w:pPr>
              <w:pStyle w:val="NormalWeb"/>
              <w:spacing w:before="0" w:beforeAutospacing="0" w:after="0" w:afterAutospacing="0"/>
              <w:ind w:right="537"/>
              <w:jc w:val="both"/>
              <w:rPr>
                <w:rFonts w:ascii="Arial" w:hAnsi="Arial" w:cs="Arial"/>
                <w:sz w:val="22"/>
                <w:szCs w:val="22"/>
              </w:rPr>
            </w:pPr>
          </w:p>
          <w:p w:rsidR="00490511" w:rsidRPr="006372C2" w:rsidRDefault="00490511" w:rsidP="00490511">
            <w:pPr>
              <w:pStyle w:val="NormalWeb"/>
              <w:spacing w:before="0" w:beforeAutospacing="0" w:after="0" w:afterAutospacing="0"/>
              <w:ind w:right="253"/>
              <w:jc w:val="both"/>
              <w:rPr>
                <w:rFonts w:ascii="Arial" w:hAnsi="Arial" w:cs="Arial"/>
                <w:sz w:val="22"/>
                <w:szCs w:val="22"/>
              </w:rPr>
            </w:pPr>
            <w:r w:rsidRPr="006372C2">
              <w:rPr>
                <w:rFonts w:ascii="Arial" w:hAnsi="Arial" w:cs="Arial"/>
                <w:sz w:val="22"/>
                <w:szCs w:val="22"/>
              </w:rPr>
              <w:t>Should you have any further queries or experience any technical difficulties in downloading the documents</w:t>
            </w:r>
            <w:r w:rsidR="00991C85">
              <w:rPr>
                <w:rFonts w:ascii="Arial" w:hAnsi="Arial" w:cs="Arial"/>
                <w:sz w:val="22"/>
                <w:szCs w:val="22"/>
              </w:rPr>
              <w:t>,</w:t>
            </w:r>
            <w:r w:rsidRPr="006372C2">
              <w:rPr>
                <w:rFonts w:ascii="Arial" w:hAnsi="Arial" w:cs="Arial"/>
                <w:sz w:val="22"/>
                <w:szCs w:val="22"/>
              </w:rPr>
              <w:t xml:space="preserve"> please send an email to </w:t>
            </w:r>
            <w:hyperlink r:id="rId8" w:history="1">
              <w:r w:rsidRPr="006372C2">
                <w:rPr>
                  <w:rStyle w:val="Hyperlink"/>
                  <w:rFonts w:ascii="Arial" w:hAnsi="Arial" w:cs="Arial"/>
                  <w:color w:val="3300CC"/>
                  <w:sz w:val="22"/>
                  <w:szCs w:val="22"/>
                </w:rPr>
                <w:t>standards@irba.co.za</w:t>
              </w:r>
            </w:hyperlink>
            <w:r w:rsidRPr="006372C2">
              <w:rPr>
                <w:rFonts w:ascii="Arial" w:hAnsi="Arial" w:cs="Arial"/>
                <w:sz w:val="22"/>
                <w:szCs w:val="22"/>
              </w:rPr>
              <w:t>.</w:t>
            </w:r>
          </w:p>
          <w:p w:rsidR="00340339" w:rsidRPr="006372C2" w:rsidRDefault="00340339" w:rsidP="002B73E0">
            <w:pPr>
              <w:jc w:val="both"/>
              <w:textAlignment w:val="top"/>
              <w:rPr>
                <w:rFonts w:ascii="Arial" w:hAnsi="Arial" w:cs="Arial"/>
                <w:sz w:val="22"/>
                <w:szCs w:val="22"/>
                <w:lang w:val="en-GB"/>
              </w:rPr>
            </w:pPr>
          </w:p>
          <w:p w:rsidR="00113BFF" w:rsidRPr="006372C2" w:rsidRDefault="00113BFF" w:rsidP="002B73E0">
            <w:pPr>
              <w:jc w:val="both"/>
              <w:textAlignment w:val="top"/>
              <w:rPr>
                <w:rFonts w:ascii="Arial" w:hAnsi="Arial" w:cs="Arial"/>
                <w:sz w:val="22"/>
                <w:szCs w:val="22"/>
                <w:lang w:val="en-GB"/>
              </w:rPr>
            </w:pPr>
          </w:p>
          <w:p w:rsidR="00340339" w:rsidRPr="006372C2" w:rsidRDefault="00340339" w:rsidP="002B73E0">
            <w:pPr>
              <w:jc w:val="both"/>
              <w:textAlignment w:val="top"/>
              <w:rPr>
                <w:rFonts w:ascii="Arial" w:hAnsi="Arial" w:cs="Arial"/>
                <w:sz w:val="22"/>
                <w:szCs w:val="22"/>
                <w:lang w:val="en-GB"/>
              </w:rPr>
            </w:pPr>
            <w:bookmarkStart w:id="1" w:name="_GoBack"/>
            <w:bookmarkEnd w:id="1"/>
          </w:p>
          <w:p w:rsidR="002B73E0" w:rsidRPr="005A0655" w:rsidRDefault="00394559" w:rsidP="002B73E0">
            <w:pPr>
              <w:jc w:val="both"/>
              <w:textAlignment w:val="top"/>
              <w:rPr>
                <w:rFonts w:ascii="Arial" w:hAnsi="Arial" w:cs="Arial"/>
                <w:b/>
                <w:sz w:val="22"/>
                <w:szCs w:val="22"/>
                <w:lang w:val="en-ZA"/>
              </w:rPr>
            </w:pPr>
            <w:r w:rsidRPr="005A0655">
              <w:rPr>
                <w:rFonts w:ascii="Arial" w:hAnsi="Arial" w:cs="Arial"/>
                <w:b/>
                <w:sz w:val="22"/>
                <w:szCs w:val="22"/>
                <w:lang w:val="en-GB"/>
              </w:rPr>
              <w:t>Imran Vanker</w:t>
            </w:r>
          </w:p>
          <w:p w:rsidR="00C54FEE" w:rsidRPr="005A0655" w:rsidRDefault="002B73E0" w:rsidP="002B73E0">
            <w:pPr>
              <w:spacing w:after="120"/>
              <w:rPr>
                <w:rFonts w:ascii="Arial" w:hAnsi="Arial" w:cs="Arial"/>
                <w:b/>
                <w:sz w:val="22"/>
                <w:szCs w:val="22"/>
                <w:lang w:val="en-GB"/>
              </w:rPr>
            </w:pPr>
            <w:r w:rsidRPr="005A0655">
              <w:rPr>
                <w:rFonts w:ascii="Arial" w:hAnsi="Arial" w:cs="Arial"/>
                <w:b/>
                <w:sz w:val="22"/>
                <w:szCs w:val="22"/>
                <w:lang w:val="en-GB"/>
              </w:rPr>
              <w:t>Director: Standards</w:t>
            </w:r>
          </w:p>
          <w:p w:rsidR="001D09E4" w:rsidRPr="005A0655" w:rsidRDefault="001D09E4" w:rsidP="00B12E5A">
            <w:pPr>
              <w:spacing w:after="120"/>
              <w:rPr>
                <w:rFonts w:ascii="Arial" w:hAnsi="Arial" w:cs="Arial"/>
                <w:b/>
                <w:i/>
                <w:noProof/>
                <w:sz w:val="20"/>
                <w:szCs w:val="20"/>
                <w:lang w:val="en-GB"/>
              </w:rPr>
            </w:pPr>
            <w:r w:rsidRPr="005A0655">
              <w:rPr>
                <w:rFonts w:ascii="Arial" w:hAnsi="Arial" w:cs="Arial"/>
                <w:b/>
                <w:i/>
                <w:noProof/>
                <w:sz w:val="20"/>
                <w:szCs w:val="20"/>
                <w:lang w:val="en-GB"/>
              </w:rPr>
              <w:t>About the IRBA</w:t>
            </w:r>
          </w:p>
          <w:p w:rsidR="003947F4" w:rsidRPr="006372C2" w:rsidRDefault="001D09E4" w:rsidP="00AA450F">
            <w:pPr>
              <w:spacing w:after="120"/>
              <w:ind w:right="232"/>
              <w:jc w:val="both"/>
              <w:rPr>
                <w:rFonts w:ascii="Arial" w:hAnsi="Arial" w:cs="Arial"/>
                <w:i/>
                <w:noProof/>
                <w:sz w:val="18"/>
                <w:szCs w:val="18"/>
                <w:lang w:val="en-GB"/>
              </w:rPr>
            </w:pPr>
            <w:r w:rsidRPr="006372C2">
              <w:rPr>
                <w:rFonts w:ascii="Arial" w:hAnsi="Arial" w:cs="Arial"/>
                <w:i/>
                <w:noProof/>
                <w:sz w:val="18"/>
                <w:szCs w:val="18"/>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w:t>
            </w:r>
            <w:r w:rsidR="00C54FEE" w:rsidRPr="006372C2">
              <w:rPr>
                <w:rFonts w:ascii="Arial" w:hAnsi="Arial" w:cs="Arial"/>
                <w:i/>
                <w:noProof/>
                <w:sz w:val="18"/>
                <w:szCs w:val="18"/>
                <w:lang w:val="en-GB"/>
              </w:rPr>
              <w:t>s</w:t>
            </w:r>
            <w:r w:rsidRPr="006372C2">
              <w:rPr>
                <w:rFonts w:ascii="Arial" w:hAnsi="Arial" w:cs="Arial"/>
                <w:i/>
                <w:noProof/>
                <w:sz w:val="18"/>
                <w:szCs w:val="18"/>
                <w:lang w:val="en-GB"/>
              </w:rPr>
              <w:t>ed standards and processes</w:t>
            </w:r>
            <w:r w:rsidR="003947F4" w:rsidRPr="006372C2">
              <w:rPr>
                <w:rFonts w:ascii="Arial" w:hAnsi="Arial" w:cs="Arial"/>
                <w:i/>
                <w:noProof/>
                <w:sz w:val="18"/>
                <w:szCs w:val="18"/>
                <w:lang w:val="en-GB"/>
              </w:rPr>
              <w:t xml:space="preserve">. </w:t>
            </w:r>
          </w:p>
          <w:p w:rsidR="001D09E4" w:rsidRPr="00873E5B" w:rsidRDefault="005A0655" w:rsidP="00734BE1">
            <w:pPr>
              <w:spacing w:after="120"/>
              <w:ind w:right="232"/>
              <w:jc w:val="both"/>
              <w:rPr>
                <w:rFonts w:ascii="Arial" w:hAnsi="Arial" w:cs="Arial"/>
                <w:i/>
                <w:noProof/>
                <w:sz w:val="18"/>
                <w:szCs w:val="18"/>
                <w:lang w:val="en-GB"/>
              </w:rPr>
            </w:pPr>
            <w:r>
              <w:rPr>
                <w:rFonts w:ascii="Arial" w:hAnsi="Arial" w:cs="Arial"/>
                <w:bCs/>
                <w:i/>
                <w:iCs/>
                <w:sz w:val="18"/>
                <w:szCs w:val="18"/>
                <w:lang w:val="en-GB"/>
              </w:rPr>
              <w:t>The statutory responsibilities of the CFAE are</w:t>
            </w:r>
            <w:r w:rsidR="003947F4" w:rsidRPr="006372C2">
              <w:rPr>
                <w:rFonts w:ascii="Arial" w:hAnsi="Arial" w:cs="Arial"/>
                <w:bCs/>
                <w:i/>
                <w:iCs/>
                <w:sz w:val="18"/>
                <w:szCs w:val="18"/>
                <w:lang w:val="en-GB"/>
              </w:rPr>
              <w:t xml:space="preserve"> to assist the IRBA to: determine what constitutes improper conduct by registered auditors by developing rules and guidelines for professional ethics, including a </w:t>
            </w:r>
            <w:r>
              <w:rPr>
                <w:rFonts w:ascii="Arial" w:hAnsi="Arial" w:cs="Arial"/>
                <w:bCs/>
                <w:i/>
                <w:iCs/>
                <w:sz w:val="18"/>
                <w:szCs w:val="18"/>
                <w:lang w:val="en-GB"/>
              </w:rPr>
              <w:t>code of professional conduct;</w:t>
            </w:r>
            <w:r w:rsidR="003947F4" w:rsidRPr="006372C2">
              <w:rPr>
                <w:rFonts w:ascii="Arial" w:hAnsi="Arial" w:cs="Arial"/>
                <w:bCs/>
                <w:i/>
                <w:iCs/>
                <w:sz w:val="18"/>
                <w:szCs w:val="18"/>
                <w:lang w:val="en-GB"/>
              </w:rPr>
              <w:t xml:space="preserve"> interact on any matter relating to its functions and powers with professional bodies and any other body or organ of state with an interest in</w:t>
            </w:r>
            <w:r>
              <w:rPr>
                <w:rFonts w:ascii="Arial" w:hAnsi="Arial" w:cs="Arial"/>
                <w:bCs/>
                <w:i/>
                <w:iCs/>
                <w:sz w:val="18"/>
                <w:szCs w:val="18"/>
                <w:lang w:val="en-GB"/>
              </w:rPr>
              <w:t xml:space="preserve"> the auditing profession; and</w:t>
            </w:r>
            <w:r w:rsidR="003947F4" w:rsidRPr="006372C2">
              <w:rPr>
                <w:rFonts w:ascii="Arial" w:hAnsi="Arial" w:cs="Arial"/>
                <w:bCs/>
                <w:i/>
                <w:iCs/>
                <w:sz w:val="18"/>
                <w:szCs w:val="18"/>
                <w:lang w:val="en-GB"/>
              </w:rPr>
              <w:t xml:space="preserve"> provide advice to registered auditors on matters of professional ethics and conduct</w:t>
            </w:r>
          </w:p>
          <w:p w:rsidR="00490511" w:rsidRPr="00873E5B" w:rsidRDefault="00490511" w:rsidP="00490511">
            <w:pPr>
              <w:pStyle w:val="NormalWeb"/>
              <w:spacing w:before="0" w:beforeAutospacing="0" w:after="0" w:afterAutospacing="0"/>
              <w:ind w:right="253"/>
              <w:jc w:val="both"/>
              <w:rPr>
                <w:rFonts w:ascii="Arial" w:hAnsi="Arial" w:cs="Arial"/>
                <w:sz w:val="22"/>
                <w:szCs w:val="22"/>
                <w:lang w:val="en-GB"/>
              </w:rPr>
            </w:pPr>
          </w:p>
        </w:tc>
      </w:tr>
    </w:tbl>
    <w:p w:rsidR="00FB743B" w:rsidRPr="00FB743B" w:rsidRDefault="00FB743B" w:rsidP="006372C2">
      <w:pPr>
        <w:jc w:val="both"/>
      </w:pPr>
    </w:p>
    <w:sectPr w:rsidR="00FB743B" w:rsidRPr="00FB743B" w:rsidSect="00CF464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430" w:rsidRDefault="00091430">
      <w:r>
        <w:separator/>
      </w:r>
    </w:p>
  </w:endnote>
  <w:endnote w:type="continuationSeparator" w:id="0">
    <w:p w:rsidR="00091430" w:rsidRDefault="00091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430" w:rsidRDefault="00091430">
      <w:r>
        <w:separator/>
      </w:r>
    </w:p>
  </w:footnote>
  <w:footnote w:type="continuationSeparator" w:id="0">
    <w:p w:rsidR="00091430" w:rsidRDefault="000914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D0E17"/>
    <w:multiLevelType w:val="hybridMultilevel"/>
    <w:tmpl w:val="B85E8442"/>
    <w:lvl w:ilvl="0" w:tplc="5456FF38">
      <w:start w:val="1"/>
      <w:numFmt w:val="decimal"/>
      <w:lvlText w:val="%1."/>
      <w:lvlJc w:val="left"/>
      <w:pPr>
        <w:ind w:left="1440" w:hanging="360"/>
      </w:pPr>
      <w:rPr>
        <w:rFonts w:ascii="Arial" w:hAnsi="Arial" w:hint="default"/>
        <w:spacing w:val="0"/>
        <w:w w:val="100"/>
        <w:position w:val="0"/>
        <w:sz w:val="22"/>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 w15:restartNumberingAfterBreak="0">
    <w:nsid w:val="084B6372"/>
    <w:multiLevelType w:val="hybridMultilevel"/>
    <w:tmpl w:val="8BB420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B5AEC"/>
    <w:multiLevelType w:val="multilevel"/>
    <w:tmpl w:val="0409001F"/>
    <w:styleLink w:val="Style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 w15:restartNumberingAfterBreak="0">
    <w:nsid w:val="1A2521DA"/>
    <w:multiLevelType w:val="multilevel"/>
    <w:tmpl w:val="0409001F"/>
    <w:styleLink w:val="Style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4" w15:restartNumberingAfterBreak="0">
    <w:nsid w:val="31E67169"/>
    <w:multiLevelType w:val="multilevel"/>
    <w:tmpl w:val="19FA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772B8D"/>
    <w:multiLevelType w:val="hybridMultilevel"/>
    <w:tmpl w:val="E38ACB3E"/>
    <w:lvl w:ilvl="0" w:tplc="EE06F246">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BF0D0E"/>
    <w:multiLevelType w:val="hybridMultilevel"/>
    <w:tmpl w:val="0742C8AE"/>
    <w:lvl w:ilvl="0" w:tplc="1C090001">
      <w:start w:val="1"/>
      <w:numFmt w:val="bullet"/>
      <w:lvlText w:val=""/>
      <w:lvlJc w:val="left"/>
      <w:pPr>
        <w:ind w:left="1260" w:hanging="360"/>
      </w:pPr>
      <w:rPr>
        <w:rFonts w:ascii="Symbol" w:hAnsi="Symbol" w:hint="default"/>
      </w:rPr>
    </w:lvl>
    <w:lvl w:ilvl="1" w:tplc="1C090003" w:tentative="1">
      <w:start w:val="1"/>
      <w:numFmt w:val="bullet"/>
      <w:lvlText w:val="o"/>
      <w:lvlJc w:val="left"/>
      <w:pPr>
        <w:ind w:left="1980" w:hanging="360"/>
      </w:pPr>
      <w:rPr>
        <w:rFonts w:ascii="Courier New" w:hAnsi="Courier New" w:cs="Courier New" w:hint="default"/>
      </w:rPr>
    </w:lvl>
    <w:lvl w:ilvl="2" w:tplc="1C090005" w:tentative="1">
      <w:start w:val="1"/>
      <w:numFmt w:val="bullet"/>
      <w:lvlText w:val=""/>
      <w:lvlJc w:val="left"/>
      <w:pPr>
        <w:ind w:left="2700" w:hanging="360"/>
      </w:pPr>
      <w:rPr>
        <w:rFonts w:ascii="Wingdings" w:hAnsi="Wingdings" w:hint="default"/>
      </w:rPr>
    </w:lvl>
    <w:lvl w:ilvl="3" w:tplc="1C090001" w:tentative="1">
      <w:start w:val="1"/>
      <w:numFmt w:val="bullet"/>
      <w:lvlText w:val=""/>
      <w:lvlJc w:val="left"/>
      <w:pPr>
        <w:ind w:left="3420" w:hanging="360"/>
      </w:pPr>
      <w:rPr>
        <w:rFonts w:ascii="Symbol" w:hAnsi="Symbol" w:hint="default"/>
      </w:rPr>
    </w:lvl>
    <w:lvl w:ilvl="4" w:tplc="1C090003" w:tentative="1">
      <w:start w:val="1"/>
      <w:numFmt w:val="bullet"/>
      <w:lvlText w:val="o"/>
      <w:lvlJc w:val="left"/>
      <w:pPr>
        <w:ind w:left="4140" w:hanging="360"/>
      </w:pPr>
      <w:rPr>
        <w:rFonts w:ascii="Courier New" w:hAnsi="Courier New" w:cs="Courier New" w:hint="default"/>
      </w:rPr>
    </w:lvl>
    <w:lvl w:ilvl="5" w:tplc="1C090005" w:tentative="1">
      <w:start w:val="1"/>
      <w:numFmt w:val="bullet"/>
      <w:lvlText w:val=""/>
      <w:lvlJc w:val="left"/>
      <w:pPr>
        <w:ind w:left="4860" w:hanging="360"/>
      </w:pPr>
      <w:rPr>
        <w:rFonts w:ascii="Wingdings" w:hAnsi="Wingdings" w:hint="default"/>
      </w:rPr>
    </w:lvl>
    <w:lvl w:ilvl="6" w:tplc="1C090001" w:tentative="1">
      <w:start w:val="1"/>
      <w:numFmt w:val="bullet"/>
      <w:lvlText w:val=""/>
      <w:lvlJc w:val="left"/>
      <w:pPr>
        <w:ind w:left="5580" w:hanging="360"/>
      </w:pPr>
      <w:rPr>
        <w:rFonts w:ascii="Symbol" w:hAnsi="Symbol" w:hint="default"/>
      </w:rPr>
    </w:lvl>
    <w:lvl w:ilvl="7" w:tplc="1C090003" w:tentative="1">
      <w:start w:val="1"/>
      <w:numFmt w:val="bullet"/>
      <w:lvlText w:val="o"/>
      <w:lvlJc w:val="left"/>
      <w:pPr>
        <w:ind w:left="6300" w:hanging="360"/>
      </w:pPr>
      <w:rPr>
        <w:rFonts w:ascii="Courier New" w:hAnsi="Courier New" w:cs="Courier New" w:hint="default"/>
      </w:rPr>
    </w:lvl>
    <w:lvl w:ilvl="8" w:tplc="1C090005" w:tentative="1">
      <w:start w:val="1"/>
      <w:numFmt w:val="bullet"/>
      <w:lvlText w:val=""/>
      <w:lvlJc w:val="left"/>
      <w:pPr>
        <w:ind w:left="7020" w:hanging="360"/>
      </w:pPr>
      <w:rPr>
        <w:rFonts w:ascii="Wingdings" w:hAnsi="Wingdings" w:hint="default"/>
      </w:rPr>
    </w:lvl>
  </w:abstractNum>
  <w:abstractNum w:abstractNumId="7" w15:restartNumberingAfterBreak="0">
    <w:nsid w:val="429C190B"/>
    <w:multiLevelType w:val="hybridMultilevel"/>
    <w:tmpl w:val="E5662CB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 w15:restartNumberingAfterBreak="0">
    <w:nsid w:val="470843AE"/>
    <w:multiLevelType w:val="hybridMultilevel"/>
    <w:tmpl w:val="57C82310"/>
    <w:lvl w:ilvl="0" w:tplc="1C090001">
      <w:start w:val="1"/>
      <w:numFmt w:val="bullet"/>
      <w:lvlText w:val=""/>
      <w:lvlJc w:val="left"/>
      <w:pPr>
        <w:ind w:left="888" w:hanging="360"/>
      </w:pPr>
      <w:rPr>
        <w:rFonts w:ascii="Symbol" w:hAnsi="Symbol" w:hint="default"/>
      </w:rPr>
    </w:lvl>
    <w:lvl w:ilvl="1" w:tplc="1C090003" w:tentative="1">
      <w:start w:val="1"/>
      <w:numFmt w:val="bullet"/>
      <w:lvlText w:val="o"/>
      <w:lvlJc w:val="left"/>
      <w:pPr>
        <w:ind w:left="1608" w:hanging="360"/>
      </w:pPr>
      <w:rPr>
        <w:rFonts w:ascii="Courier New" w:hAnsi="Courier New" w:cs="Courier New" w:hint="default"/>
      </w:rPr>
    </w:lvl>
    <w:lvl w:ilvl="2" w:tplc="1C090005" w:tentative="1">
      <w:start w:val="1"/>
      <w:numFmt w:val="bullet"/>
      <w:lvlText w:val=""/>
      <w:lvlJc w:val="left"/>
      <w:pPr>
        <w:ind w:left="2328" w:hanging="360"/>
      </w:pPr>
      <w:rPr>
        <w:rFonts w:ascii="Wingdings" w:hAnsi="Wingdings" w:hint="default"/>
      </w:rPr>
    </w:lvl>
    <w:lvl w:ilvl="3" w:tplc="1C090001" w:tentative="1">
      <w:start w:val="1"/>
      <w:numFmt w:val="bullet"/>
      <w:lvlText w:val=""/>
      <w:lvlJc w:val="left"/>
      <w:pPr>
        <w:ind w:left="3048" w:hanging="360"/>
      </w:pPr>
      <w:rPr>
        <w:rFonts w:ascii="Symbol" w:hAnsi="Symbol" w:hint="default"/>
      </w:rPr>
    </w:lvl>
    <w:lvl w:ilvl="4" w:tplc="1C090003" w:tentative="1">
      <w:start w:val="1"/>
      <w:numFmt w:val="bullet"/>
      <w:lvlText w:val="o"/>
      <w:lvlJc w:val="left"/>
      <w:pPr>
        <w:ind w:left="3768" w:hanging="360"/>
      </w:pPr>
      <w:rPr>
        <w:rFonts w:ascii="Courier New" w:hAnsi="Courier New" w:cs="Courier New" w:hint="default"/>
      </w:rPr>
    </w:lvl>
    <w:lvl w:ilvl="5" w:tplc="1C090005" w:tentative="1">
      <w:start w:val="1"/>
      <w:numFmt w:val="bullet"/>
      <w:lvlText w:val=""/>
      <w:lvlJc w:val="left"/>
      <w:pPr>
        <w:ind w:left="4488" w:hanging="360"/>
      </w:pPr>
      <w:rPr>
        <w:rFonts w:ascii="Wingdings" w:hAnsi="Wingdings" w:hint="default"/>
      </w:rPr>
    </w:lvl>
    <w:lvl w:ilvl="6" w:tplc="1C090001" w:tentative="1">
      <w:start w:val="1"/>
      <w:numFmt w:val="bullet"/>
      <w:lvlText w:val=""/>
      <w:lvlJc w:val="left"/>
      <w:pPr>
        <w:ind w:left="5208" w:hanging="360"/>
      </w:pPr>
      <w:rPr>
        <w:rFonts w:ascii="Symbol" w:hAnsi="Symbol" w:hint="default"/>
      </w:rPr>
    </w:lvl>
    <w:lvl w:ilvl="7" w:tplc="1C090003" w:tentative="1">
      <w:start w:val="1"/>
      <w:numFmt w:val="bullet"/>
      <w:lvlText w:val="o"/>
      <w:lvlJc w:val="left"/>
      <w:pPr>
        <w:ind w:left="5928" w:hanging="360"/>
      </w:pPr>
      <w:rPr>
        <w:rFonts w:ascii="Courier New" w:hAnsi="Courier New" w:cs="Courier New" w:hint="default"/>
      </w:rPr>
    </w:lvl>
    <w:lvl w:ilvl="8" w:tplc="1C090005" w:tentative="1">
      <w:start w:val="1"/>
      <w:numFmt w:val="bullet"/>
      <w:lvlText w:val=""/>
      <w:lvlJc w:val="left"/>
      <w:pPr>
        <w:ind w:left="6648" w:hanging="360"/>
      </w:pPr>
      <w:rPr>
        <w:rFonts w:ascii="Wingdings" w:hAnsi="Wingdings" w:hint="default"/>
      </w:rPr>
    </w:lvl>
  </w:abstractNum>
  <w:abstractNum w:abstractNumId="9" w15:restartNumberingAfterBreak="0">
    <w:nsid w:val="4D6033CC"/>
    <w:multiLevelType w:val="hybridMultilevel"/>
    <w:tmpl w:val="A254FC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EA722A1"/>
    <w:multiLevelType w:val="hybridMultilevel"/>
    <w:tmpl w:val="52D674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504C457A"/>
    <w:multiLevelType w:val="hybridMultilevel"/>
    <w:tmpl w:val="987EB72A"/>
    <w:lvl w:ilvl="0" w:tplc="503EBE04">
      <w:start w:val="1"/>
      <w:numFmt w:val="decimal"/>
      <w:lvlText w:val="%1."/>
      <w:lvlJc w:val="left"/>
      <w:pPr>
        <w:ind w:left="360" w:hanging="360"/>
      </w:pPr>
      <w:rPr>
        <w:rFonts w:hint="default"/>
        <w:color w:val="auto"/>
      </w:rPr>
    </w:lvl>
    <w:lvl w:ilvl="1" w:tplc="44A84E02">
      <w:start w:val="1"/>
      <w:numFmt w:val="bullet"/>
      <w:lvlText w:val=""/>
      <w:lvlJc w:val="left"/>
      <w:pPr>
        <w:ind w:left="1080" w:hanging="360"/>
      </w:pPr>
      <w:rPr>
        <w:rFonts w:ascii="Symbol" w:hAnsi="Symbol" w:hint="default"/>
        <w:color w:val="auto"/>
        <w:sz w:val="20"/>
        <w:szCs w:val="20"/>
      </w:rPr>
    </w:lvl>
    <w:lvl w:ilvl="2" w:tplc="4F946A00">
      <w:start w:val="1"/>
      <w:numFmt w:val="bullet"/>
      <w:lvlText w:val="o"/>
      <w:lvlJc w:val="left"/>
      <w:pPr>
        <w:ind w:left="1800" w:hanging="180"/>
      </w:pPr>
      <w:rPr>
        <w:rFonts w:ascii="Courier New" w:hAnsi="Courier New" w:cs="Courier New" w:hint="default"/>
        <w:sz w:val="18"/>
      </w:rPr>
    </w:lvl>
    <w:lvl w:ilvl="3" w:tplc="04090001">
      <w:start w:val="1"/>
      <w:numFmt w:val="lowerRoman"/>
      <w:lvlText w:val="%4)"/>
      <w:lvlJc w:val="left"/>
      <w:pPr>
        <w:ind w:left="2880" w:hanging="720"/>
      </w:pPr>
      <w:rPr>
        <w:rFonts w:hint="default"/>
      </w:rPr>
    </w:lvl>
    <w:lvl w:ilvl="4" w:tplc="9FC0F842">
      <w:start w:val="1"/>
      <w:numFmt w:val="lowerLetter"/>
      <w:lvlText w:val="(%5)"/>
      <w:lvlJc w:val="left"/>
      <w:pPr>
        <w:ind w:left="3420" w:hanging="54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0B922CB"/>
    <w:multiLevelType w:val="hybridMultilevel"/>
    <w:tmpl w:val="0E485AF2"/>
    <w:lvl w:ilvl="0" w:tplc="10F4BA4E">
      <w:start w:val="1"/>
      <w:numFmt w:val="bullet"/>
      <w:lvlText w:val=""/>
      <w:lvlJc w:val="left"/>
      <w:pPr>
        <w:tabs>
          <w:tab w:val="num" w:pos="414"/>
        </w:tabs>
        <w:ind w:left="414" w:hanging="414"/>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581D1BC2"/>
    <w:multiLevelType w:val="hybridMultilevel"/>
    <w:tmpl w:val="2E2468D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59DD2BC5"/>
    <w:multiLevelType w:val="hybridMultilevel"/>
    <w:tmpl w:val="9D1E0960"/>
    <w:lvl w:ilvl="0" w:tplc="10F4BA4E">
      <w:start w:val="1"/>
      <w:numFmt w:val="bullet"/>
      <w:lvlText w:val=""/>
      <w:lvlJc w:val="left"/>
      <w:pPr>
        <w:tabs>
          <w:tab w:val="num" w:pos="414"/>
        </w:tabs>
        <w:ind w:left="414" w:hanging="414"/>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683205F4"/>
    <w:multiLevelType w:val="multilevel"/>
    <w:tmpl w:val="7CAE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B472A9"/>
    <w:multiLevelType w:val="hybridMultilevel"/>
    <w:tmpl w:val="04AA54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01A6D40"/>
    <w:multiLevelType w:val="hybridMultilevel"/>
    <w:tmpl w:val="E1A288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7CCA15F6"/>
    <w:multiLevelType w:val="hybridMultilevel"/>
    <w:tmpl w:val="655E30AA"/>
    <w:lvl w:ilvl="0" w:tplc="1C090001">
      <w:start w:val="1"/>
      <w:numFmt w:val="bullet"/>
      <w:lvlText w:val=""/>
      <w:lvlJc w:val="left"/>
      <w:pPr>
        <w:ind w:left="924" w:hanging="360"/>
      </w:pPr>
      <w:rPr>
        <w:rFonts w:ascii="Symbol" w:hAnsi="Symbol" w:hint="default"/>
      </w:rPr>
    </w:lvl>
    <w:lvl w:ilvl="1" w:tplc="1C090003" w:tentative="1">
      <w:start w:val="1"/>
      <w:numFmt w:val="bullet"/>
      <w:lvlText w:val="o"/>
      <w:lvlJc w:val="left"/>
      <w:pPr>
        <w:ind w:left="1644" w:hanging="360"/>
      </w:pPr>
      <w:rPr>
        <w:rFonts w:ascii="Courier New" w:hAnsi="Courier New" w:cs="Courier New" w:hint="default"/>
      </w:rPr>
    </w:lvl>
    <w:lvl w:ilvl="2" w:tplc="1C090005" w:tentative="1">
      <w:start w:val="1"/>
      <w:numFmt w:val="bullet"/>
      <w:lvlText w:val=""/>
      <w:lvlJc w:val="left"/>
      <w:pPr>
        <w:ind w:left="2364" w:hanging="360"/>
      </w:pPr>
      <w:rPr>
        <w:rFonts w:ascii="Wingdings" w:hAnsi="Wingdings" w:hint="default"/>
      </w:rPr>
    </w:lvl>
    <w:lvl w:ilvl="3" w:tplc="1C090001" w:tentative="1">
      <w:start w:val="1"/>
      <w:numFmt w:val="bullet"/>
      <w:lvlText w:val=""/>
      <w:lvlJc w:val="left"/>
      <w:pPr>
        <w:ind w:left="3084" w:hanging="360"/>
      </w:pPr>
      <w:rPr>
        <w:rFonts w:ascii="Symbol" w:hAnsi="Symbol" w:hint="default"/>
      </w:rPr>
    </w:lvl>
    <w:lvl w:ilvl="4" w:tplc="1C090003" w:tentative="1">
      <w:start w:val="1"/>
      <w:numFmt w:val="bullet"/>
      <w:lvlText w:val="o"/>
      <w:lvlJc w:val="left"/>
      <w:pPr>
        <w:ind w:left="3804" w:hanging="360"/>
      </w:pPr>
      <w:rPr>
        <w:rFonts w:ascii="Courier New" w:hAnsi="Courier New" w:cs="Courier New" w:hint="default"/>
      </w:rPr>
    </w:lvl>
    <w:lvl w:ilvl="5" w:tplc="1C090005" w:tentative="1">
      <w:start w:val="1"/>
      <w:numFmt w:val="bullet"/>
      <w:lvlText w:val=""/>
      <w:lvlJc w:val="left"/>
      <w:pPr>
        <w:ind w:left="4524" w:hanging="360"/>
      </w:pPr>
      <w:rPr>
        <w:rFonts w:ascii="Wingdings" w:hAnsi="Wingdings" w:hint="default"/>
      </w:rPr>
    </w:lvl>
    <w:lvl w:ilvl="6" w:tplc="1C090001" w:tentative="1">
      <w:start w:val="1"/>
      <w:numFmt w:val="bullet"/>
      <w:lvlText w:val=""/>
      <w:lvlJc w:val="left"/>
      <w:pPr>
        <w:ind w:left="5244" w:hanging="360"/>
      </w:pPr>
      <w:rPr>
        <w:rFonts w:ascii="Symbol" w:hAnsi="Symbol" w:hint="default"/>
      </w:rPr>
    </w:lvl>
    <w:lvl w:ilvl="7" w:tplc="1C090003" w:tentative="1">
      <w:start w:val="1"/>
      <w:numFmt w:val="bullet"/>
      <w:lvlText w:val="o"/>
      <w:lvlJc w:val="left"/>
      <w:pPr>
        <w:ind w:left="5964" w:hanging="360"/>
      </w:pPr>
      <w:rPr>
        <w:rFonts w:ascii="Courier New" w:hAnsi="Courier New" w:cs="Courier New" w:hint="default"/>
      </w:rPr>
    </w:lvl>
    <w:lvl w:ilvl="8" w:tplc="1C090005" w:tentative="1">
      <w:start w:val="1"/>
      <w:numFmt w:val="bullet"/>
      <w:lvlText w:val=""/>
      <w:lvlJc w:val="left"/>
      <w:pPr>
        <w:ind w:left="6684" w:hanging="360"/>
      </w:pPr>
      <w:rPr>
        <w:rFonts w:ascii="Wingdings" w:hAnsi="Wingdings" w:hint="default"/>
      </w:rPr>
    </w:lvl>
  </w:abstractNum>
  <w:abstractNum w:abstractNumId="19" w15:restartNumberingAfterBreak="0">
    <w:nsid w:val="7D4F1383"/>
    <w:multiLevelType w:val="multilevel"/>
    <w:tmpl w:val="927C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DC2185"/>
    <w:multiLevelType w:val="hybridMultilevel"/>
    <w:tmpl w:val="69EC156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21" w15:restartNumberingAfterBreak="0">
    <w:nsid w:val="7FC32C10"/>
    <w:multiLevelType w:val="hybridMultilevel"/>
    <w:tmpl w:val="5C5EFC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4"/>
  </w:num>
  <w:num w:numId="5">
    <w:abstractNumId w:val="5"/>
  </w:num>
  <w:num w:numId="6">
    <w:abstractNumId w:val="15"/>
  </w:num>
  <w:num w:numId="7">
    <w:abstractNumId w:val="1"/>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2"/>
  </w:num>
  <w:num w:numId="11">
    <w:abstractNumId w:val="14"/>
  </w:num>
  <w:num w:numId="12">
    <w:abstractNumId w:val="9"/>
  </w:num>
  <w:num w:numId="13">
    <w:abstractNumId w:val="17"/>
  </w:num>
  <w:num w:numId="14">
    <w:abstractNumId w:val="11"/>
  </w:num>
  <w:num w:numId="15">
    <w:abstractNumId w:val="19"/>
  </w:num>
  <w:num w:numId="16">
    <w:abstractNumId w:val="16"/>
  </w:num>
  <w:num w:numId="17">
    <w:abstractNumId w:val="7"/>
  </w:num>
  <w:num w:numId="18">
    <w:abstractNumId w:val="10"/>
  </w:num>
  <w:num w:numId="19">
    <w:abstractNumId w:val="13"/>
  </w:num>
  <w:num w:numId="20">
    <w:abstractNumId w:val="8"/>
  </w:num>
  <w:num w:numId="21">
    <w:abstractNumId w:val="0"/>
  </w:num>
  <w:num w:numId="22">
    <w:abstractNumId w:val="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62"/>
    <w:rsid w:val="00003D96"/>
    <w:rsid w:val="00007F6A"/>
    <w:rsid w:val="00010C67"/>
    <w:rsid w:val="000136EF"/>
    <w:rsid w:val="0002385D"/>
    <w:rsid w:val="00032EC5"/>
    <w:rsid w:val="00040123"/>
    <w:rsid w:val="00044382"/>
    <w:rsid w:val="000450CD"/>
    <w:rsid w:val="0005147F"/>
    <w:rsid w:val="00064EB5"/>
    <w:rsid w:val="0006670E"/>
    <w:rsid w:val="000859A2"/>
    <w:rsid w:val="000878CF"/>
    <w:rsid w:val="00091430"/>
    <w:rsid w:val="00092D8D"/>
    <w:rsid w:val="00097D2D"/>
    <w:rsid w:val="000A09BD"/>
    <w:rsid w:val="000B3AC9"/>
    <w:rsid w:val="000B4148"/>
    <w:rsid w:val="000B4EE8"/>
    <w:rsid w:val="000B52F6"/>
    <w:rsid w:val="000C6DE2"/>
    <w:rsid w:val="000E3393"/>
    <w:rsid w:val="000E650C"/>
    <w:rsid w:val="000E6557"/>
    <w:rsid w:val="00101136"/>
    <w:rsid w:val="00113BFF"/>
    <w:rsid w:val="00113E44"/>
    <w:rsid w:val="00114451"/>
    <w:rsid w:val="00116085"/>
    <w:rsid w:val="00122722"/>
    <w:rsid w:val="00126186"/>
    <w:rsid w:val="00134F54"/>
    <w:rsid w:val="00137A03"/>
    <w:rsid w:val="00140754"/>
    <w:rsid w:val="001540D8"/>
    <w:rsid w:val="001552E2"/>
    <w:rsid w:val="0017104C"/>
    <w:rsid w:val="0017487B"/>
    <w:rsid w:val="0018695A"/>
    <w:rsid w:val="001A1432"/>
    <w:rsid w:val="001A7934"/>
    <w:rsid w:val="001C25A5"/>
    <w:rsid w:val="001C4B9C"/>
    <w:rsid w:val="001C523A"/>
    <w:rsid w:val="001D09E4"/>
    <w:rsid w:val="001D523A"/>
    <w:rsid w:val="001E2E08"/>
    <w:rsid w:val="001F4B6D"/>
    <w:rsid w:val="00200976"/>
    <w:rsid w:val="002012B2"/>
    <w:rsid w:val="0020189B"/>
    <w:rsid w:val="00203D03"/>
    <w:rsid w:val="002109B1"/>
    <w:rsid w:val="00214ACB"/>
    <w:rsid w:val="00216C17"/>
    <w:rsid w:val="00216F8A"/>
    <w:rsid w:val="00227905"/>
    <w:rsid w:val="00232478"/>
    <w:rsid w:val="0024081E"/>
    <w:rsid w:val="00245BF9"/>
    <w:rsid w:val="00253927"/>
    <w:rsid w:val="00272EAF"/>
    <w:rsid w:val="002844DA"/>
    <w:rsid w:val="00295291"/>
    <w:rsid w:val="002A60B6"/>
    <w:rsid w:val="002A74E0"/>
    <w:rsid w:val="002B73E0"/>
    <w:rsid w:val="002C45B6"/>
    <w:rsid w:val="002D39B8"/>
    <w:rsid w:val="002D43B1"/>
    <w:rsid w:val="002D5ADC"/>
    <w:rsid w:val="002D6054"/>
    <w:rsid w:val="002D7307"/>
    <w:rsid w:val="002E40D3"/>
    <w:rsid w:val="002F1772"/>
    <w:rsid w:val="002F7B31"/>
    <w:rsid w:val="00313118"/>
    <w:rsid w:val="00314C4A"/>
    <w:rsid w:val="00315776"/>
    <w:rsid w:val="00325494"/>
    <w:rsid w:val="003356FE"/>
    <w:rsid w:val="00340339"/>
    <w:rsid w:val="00342BA3"/>
    <w:rsid w:val="00356960"/>
    <w:rsid w:val="0037190D"/>
    <w:rsid w:val="00372124"/>
    <w:rsid w:val="00376C05"/>
    <w:rsid w:val="0039194F"/>
    <w:rsid w:val="00394559"/>
    <w:rsid w:val="003947F4"/>
    <w:rsid w:val="003A01AD"/>
    <w:rsid w:val="003A1121"/>
    <w:rsid w:val="003A201F"/>
    <w:rsid w:val="003B67FC"/>
    <w:rsid w:val="003B7B30"/>
    <w:rsid w:val="003D32C8"/>
    <w:rsid w:val="003D3CF2"/>
    <w:rsid w:val="003E23B2"/>
    <w:rsid w:val="003E2B95"/>
    <w:rsid w:val="003E66B0"/>
    <w:rsid w:val="003F6A77"/>
    <w:rsid w:val="00400C1E"/>
    <w:rsid w:val="0040189D"/>
    <w:rsid w:val="004170DD"/>
    <w:rsid w:val="004228B0"/>
    <w:rsid w:val="00430ADA"/>
    <w:rsid w:val="00431DBA"/>
    <w:rsid w:val="00435B84"/>
    <w:rsid w:val="00445301"/>
    <w:rsid w:val="0045777B"/>
    <w:rsid w:val="00464F4D"/>
    <w:rsid w:val="00465756"/>
    <w:rsid w:val="00476A19"/>
    <w:rsid w:val="00476E88"/>
    <w:rsid w:val="004801B6"/>
    <w:rsid w:val="00481202"/>
    <w:rsid w:val="0048394C"/>
    <w:rsid w:val="00485F72"/>
    <w:rsid w:val="00490511"/>
    <w:rsid w:val="0049789D"/>
    <w:rsid w:val="004A08F3"/>
    <w:rsid w:val="004A29F3"/>
    <w:rsid w:val="004B0A62"/>
    <w:rsid w:val="004B190D"/>
    <w:rsid w:val="004B4407"/>
    <w:rsid w:val="004C62D9"/>
    <w:rsid w:val="004D11BE"/>
    <w:rsid w:val="004D4668"/>
    <w:rsid w:val="004D5AED"/>
    <w:rsid w:val="004E5DAD"/>
    <w:rsid w:val="004E7CED"/>
    <w:rsid w:val="004F1712"/>
    <w:rsid w:val="004F3075"/>
    <w:rsid w:val="004F63B7"/>
    <w:rsid w:val="00501D83"/>
    <w:rsid w:val="00502FE5"/>
    <w:rsid w:val="005105C4"/>
    <w:rsid w:val="00520C08"/>
    <w:rsid w:val="00520DCC"/>
    <w:rsid w:val="005230B0"/>
    <w:rsid w:val="00525D32"/>
    <w:rsid w:val="00530BE5"/>
    <w:rsid w:val="00546E1C"/>
    <w:rsid w:val="00553819"/>
    <w:rsid w:val="00562ACE"/>
    <w:rsid w:val="0057353C"/>
    <w:rsid w:val="005811FF"/>
    <w:rsid w:val="00581AFC"/>
    <w:rsid w:val="00591298"/>
    <w:rsid w:val="0059783A"/>
    <w:rsid w:val="005A0655"/>
    <w:rsid w:val="005B4925"/>
    <w:rsid w:val="005C5483"/>
    <w:rsid w:val="005D3E51"/>
    <w:rsid w:val="005D7CC4"/>
    <w:rsid w:val="005F04BF"/>
    <w:rsid w:val="005F16E7"/>
    <w:rsid w:val="00601BA3"/>
    <w:rsid w:val="0060435D"/>
    <w:rsid w:val="00620907"/>
    <w:rsid w:val="00626C7F"/>
    <w:rsid w:val="00633E48"/>
    <w:rsid w:val="006372C2"/>
    <w:rsid w:val="00637821"/>
    <w:rsid w:val="006448AD"/>
    <w:rsid w:val="00652E9F"/>
    <w:rsid w:val="00654E42"/>
    <w:rsid w:val="00657150"/>
    <w:rsid w:val="00657AC1"/>
    <w:rsid w:val="00665BA3"/>
    <w:rsid w:val="00667C74"/>
    <w:rsid w:val="006817C0"/>
    <w:rsid w:val="0068669D"/>
    <w:rsid w:val="006964CA"/>
    <w:rsid w:val="006A71D7"/>
    <w:rsid w:val="006B6619"/>
    <w:rsid w:val="006B7A0B"/>
    <w:rsid w:val="006C3680"/>
    <w:rsid w:val="006C4CD0"/>
    <w:rsid w:val="006E3E2B"/>
    <w:rsid w:val="006F44C4"/>
    <w:rsid w:val="006F73BE"/>
    <w:rsid w:val="0070324F"/>
    <w:rsid w:val="00711F93"/>
    <w:rsid w:val="00715EC2"/>
    <w:rsid w:val="0071605F"/>
    <w:rsid w:val="007172DD"/>
    <w:rsid w:val="007173E2"/>
    <w:rsid w:val="00720CBE"/>
    <w:rsid w:val="00725952"/>
    <w:rsid w:val="007279B3"/>
    <w:rsid w:val="00731067"/>
    <w:rsid w:val="007338EB"/>
    <w:rsid w:val="00734BE1"/>
    <w:rsid w:val="00736DEE"/>
    <w:rsid w:val="007410C7"/>
    <w:rsid w:val="0074494B"/>
    <w:rsid w:val="007450F7"/>
    <w:rsid w:val="00754EAC"/>
    <w:rsid w:val="00762565"/>
    <w:rsid w:val="00766238"/>
    <w:rsid w:val="007665E9"/>
    <w:rsid w:val="007709AC"/>
    <w:rsid w:val="00771AA5"/>
    <w:rsid w:val="00776C30"/>
    <w:rsid w:val="0078740D"/>
    <w:rsid w:val="0079440B"/>
    <w:rsid w:val="00795C80"/>
    <w:rsid w:val="007B381D"/>
    <w:rsid w:val="007C13D2"/>
    <w:rsid w:val="007C1625"/>
    <w:rsid w:val="007D5559"/>
    <w:rsid w:val="007E2CDE"/>
    <w:rsid w:val="00803A0E"/>
    <w:rsid w:val="008044A3"/>
    <w:rsid w:val="00817D8E"/>
    <w:rsid w:val="00823D20"/>
    <w:rsid w:val="00834A2F"/>
    <w:rsid w:val="008437AD"/>
    <w:rsid w:val="00843BF0"/>
    <w:rsid w:val="00847575"/>
    <w:rsid w:val="00853A64"/>
    <w:rsid w:val="0086276B"/>
    <w:rsid w:val="00862F7E"/>
    <w:rsid w:val="0086785E"/>
    <w:rsid w:val="00873664"/>
    <w:rsid w:val="00873E5B"/>
    <w:rsid w:val="0089033B"/>
    <w:rsid w:val="008942A8"/>
    <w:rsid w:val="0089542C"/>
    <w:rsid w:val="008B4BC2"/>
    <w:rsid w:val="008C0F0D"/>
    <w:rsid w:val="008C24D6"/>
    <w:rsid w:val="008D0691"/>
    <w:rsid w:val="008D6D2B"/>
    <w:rsid w:val="008D7ADA"/>
    <w:rsid w:val="008E09EC"/>
    <w:rsid w:val="008E1FA4"/>
    <w:rsid w:val="008E2763"/>
    <w:rsid w:val="008F6B79"/>
    <w:rsid w:val="009141DD"/>
    <w:rsid w:val="00922D6E"/>
    <w:rsid w:val="00930E32"/>
    <w:rsid w:val="009352CB"/>
    <w:rsid w:val="0094029D"/>
    <w:rsid w:val="0096265A"/>
    <w:rsid w:val="00981863"/>
    <w:rsid w:val="00982179"/>
    <w:rsid w:val="00982D4C"/>
    <w:rsid w:val="00991C85"/>
    <w:rsid w:val="009E5345"/>
    <w:rsid w:val="009E7287"/>
    <w:rsid w:val="009E784B"/>
    <w:rsid w:val="00A1003B"/>
    <w:rsid w:val="00A10918"/>
    <w:rsid w:val="00A11FDB"/>
    <w:rsid w:val="00A16147"/>
    <w:rsid w:val="00A2377E"/>
    <w:rsid w:val="00A25906"/>
    <w:rsid w:val="00A30594"/>
    <w:rsid w:val="00A320E2"/>
    <w:rsid w:val="00A338B0"/>
    <w:rsid w:val="00A53E61"/>
    <w:rsid w:val="00A719B1"/>
    <w:rsid w:val="00AA450F"/>
    <w:rsid w:val="00AA715B"/>
    <w:rsid w:val="00AB779F"/>
    <w:rsid w:val="00AC0C4E"/>
    <w:rsid w:val="00AC62A0"/>
    <w:rsid w:val="00AC74DF"/>
    <w:rsid w:val="00AD0FAA"/>
    <w:rsid w:val="00AD7D5A"/>
    <w:rsid w:val="00AF3F0B"/>
    <w:rsid w:val="00AF4C82"/>
    <w:rsid w:val="00B11F48"/>
    <w:rsid w:val="00B12E5A"/>
    <w:rsid w:val="00B16992"/>
    <w:rsid w:val="00B17169"/>
    <w:rsid w:val="00B2199A"/>
    <w:rsid w:val="00B23D2A"/>
    <w:rsid w:val="00B244D5"/>
    <w:rsid w:val="00B3448B"/>
    <w:rsid w:val="00B3696C"/>
    <w:rsid w:val="00B37676"/>
    <w:rsid w:val="00B44226"/>
    <w:rsid w:val="00B52FBE"/>
    <w:rsid w:val="00B53800"/>
    <w:rsid w:val="00B56DC1"/>
    <w:rsid w:val="00B56E71"/>
    <w:rsid w:val="00B61638"/>
    <w:rsid w:val="00B65630"/>
    <w:rsid w:val="00B659C3"/>
    <w:rsid w:val="00B837E8"/>
    <w:rsid w:val="00B92E25"/>
    <w:rsid w:val="00BA5313"/>
    <w:rsid w:val="00BA7706"/>
    <w:rsid w:val="00BC3DCC"/>
    <w:rsid w:val="00BE3A04"/>
    <w:rsid w:val="00BF23CF"/>
    <w:rsid w:val="00C042C2"/>
    <w:rsid w:val="00C06C45"/>
    <w:rsid w:val="00C075A2"/>
    <w:rsid w:val="00C23AA8"/>
    <w:rsid w:val="00C252E3"/>
    <w:rsid w:val="00C26742"/>
    <w:rsid w:val="00C40FBA"/>
    <w:rsid w:val="00C451BF"/>
    <w:rsid w:val="00C54FEE"/>
    <w:rsid w:val="00C71091"/>
    <w:rsid w:val="00C728DC"/>
    <w:rsid w:val="00C7409F"/>
    <w:rsid w:val="00C81770"/>
    <w:rsid w:val="00C83BDB"/>
    <w:rsid w:val="00CA3A48"/>
    <w:rsid w:val="00CA491C"/>
    <w:rsid w:val="00CB4B32"/>
    <w:rsid w:val="00CB6B61"/>
    <w:rsid w:val="00CC4DBE"/>
    <w:rsid w:val="00CD7B0B"/>
    <w:rsid w:val="00CE05FC"/>
    <w:rsid w:val="00CE5699"/>
    <w:rsid w:val="00CF4646"/>
    <w:rsid w:val="00D00FBD"/>
    <w:rsid w:val="00D01EA1"/>
    <w:rsid w:val="00D03C05"/>
    <w:rsid w:val="00D1346E"/>
    <w:rsid w:val="00D20F98"/>
    <w:rsid w:val="00D2206D"/>
    <w:rsid w:val="00D248FA"/>
    <w:rsid w:val="00D35969"/>
    <w:rsid w:val="00D40F54"/>
    <w:rsid w:val="00D4672E"/>
    <w:rsid w:val="00D47988"/>
    <w:rsid w:val="00D56247"/>
    <w:rsid w:val="00D65986"/>
    <w:rsid w:val="00D668E5"/>
    <w:rsid w:val="00D7008D"/>
    <w:rsid w:val="00D753EF"/>
    <w:rsid w:val="00D768AE"/>
    <w:rsid w:val="00D84E6D"/>
    <w:rsid w:val="00D87912"/>
    <w:rsid w:val="00D9298B"/>
    <w:rsid w:val="00DA5AED"/>
    <w:rsid w:val="00DA7BFB"/>
    <w:rsid w:val="00DC0067"/>
    <w:rsid w:val="00DC113B"/>
    <w:rsid w:val="00DC2ED2"/>
    <w:rsid w:val="00DC5C0F"/>
    <w:rsid w:val="00DD1120"/>
    <w:rsid w:val="00DE6BF7"/>
    <w:rsid w:val="00DF707A"/>
    <w:rsid w:val="00E01488"/>
    <w:rsid w:val="00E02E39"/>
    <w:rsid w:val="00E047CD"/>
    <w:rsid w:val="00E07370"/>
    <w:rsid w:val="00E13438"/>
    <w:rsid w:val="00E17D9D"/>
    <w:rsid w:val="00E31ACF"/>
    <w:rsid w:val="00E55984"/>
    <w:rsid w:val="00E55E2F"/>
    <w:rsid w:val="00E5656B"/>
    <w:rsid w:val="00E57669"/>
    <w:rsid w:val="00E621B7"/>
    <w:rsid w:val="00E705F2"/>
    <w:rsid w:val="00E725B7"/>
    <w:rsid w:val="00E73F81"/>
    <w:rsid w:val="00E76A46"/>
    <w:rsid w:val="00E85336"/>
    <w:rsid w:val="00E860E3"/>
    <w:rsid w:val="00E94A78"/>
    <w:rsid w:val="00E9626D"/>
    <w:rsid w:val="00EA39E9"/>
    <w:rsid w:val="00EB277F"/>
    <w:rsid w:val="00EB3DD8"/>
    <w:rsid w:val="00EB6057"/>
    <w:rsid w:val="00EC28EB"/>
    <w:rsid w:val="00EC6ACB"/>
    <w:rsid w:val="00ED685F"/>
    <w:rsid w:val="00EF0CEC"/>
    <w:rsid w:val="00EF234F"/>
    <w:rsid w:val="00EF4769"/>
    <w:rsid w:val="00EF7CAF"/>
    <w:rsid w:val="00F0083E"/>
    <w:rsid w:val="00F06026"/>
    <w:rsid w:val="00F1120B"/>
    <w:rsid w:val="00F22110"/>
    <w:rsid w:val="00F22686"/>
    <w:rsid w:val="00F2762C"/>
    <w:rsid w:val="00F344DE"/>
    <w:rsid w:val="00F464AB"/>
    <w:rsid w:val="00F511BB"/>
    <w:rsid w:val="00F56582"/>
    <w:rsid w:val="00F663CB"/>
    <w:rsid w:val="00F6677D"/>
    <w:rsid w:val="00F72ADB"/>
    <w:rsid w:val="00F73B94"/>
    <w:rsid w:val="00F87562"/>
    <w:rsid w:val="00F92DF3"/>
    <w:rsid w:val="00FA39F2"/>
    <w:rsid w:val="00FB743B"/>
    <w:rsid w:val="00FC2D0C"/>
    <w:rsid w:val="00FC4FFC"/>
    <w:rsid w:val="00FD2177"/>
    <w:rsid w:val="00FD4BF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5D41E40-5CAE-4A2D-A1C0-0D344392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4C4"/>
    <w:rPr>
      <w:sz w:val="24"/>
      <w:szCs w:val="24"/>
      <w:lang w:val="en-US" w:eastAsia="en-US"/>
    </w:rPr>
  </w:style>
  <w:style w:type="paragraph" w:styleId="Heading2">
    <w:name w:val="heading 2"/>
    <w:basedOn w:val="Normal"/>
    <w:next w:val="Normal"/>
    <w:link w:val="Heading2Char"/>
    <w:autoRedefine/>
    <w:uiPriority w:val="9"/>
    <w:unhideWhenUsed/>
    <w:qFormat/>
    <w:locked/>
    <w:rsid w:val="004E5DAD"/>
    <w:pPr>
      <w:keepNext/>
      <w:keepLines/>
      <w:spacing w:before="240" w:after="240"/>
      <w:outlineLvl w:val="1"/>
    </w:pPr>
    <w:rPr>
      <w:rFonts w:ascii="Arial" w:eastAsiaTheme="majorEastAsia" w:hAnsi="Arial" w:cstheme="majorBidi"/>
      <w:b/>
      <w:bCs/>
      <w:szCs w:val="26"/>
      <w:lang w:eastAsia="ja-JP"/>
    </w:rPr>
  </w:style>
  <w:style w:type="paragraph" w:styleId="Heading3">
    <w:name w:val="heading 3"/>
    <w:basedOn w:val="Normal"/>
    <w:next w:val="Normal"/>
    <w:link w:val="Heading3Char"/>
    <w:semiHidden/>
    <w:unhideWhenUsed/>
    <w:qFormat/>
    <w:locked/>
    <w:rsid w:val="00FB743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orDepartment">
    <w:name w:val="Title or Department"/>
    <w:rsid w:val="004B0A62"/>
    <w:rPr>
      <w:rFonts w:ascii="Calibri" w:hAnsi="Calibri" w:cs="Times New Roman"/>
      <w:b/>
      <w:bCs/>
      <w:color w:val="C00000"/>
    </w:rPr>
  </w:style>
  <w:style w:type="character" w:customStyle="1" w:styleId="Subject">
    <w:name w:val="Subject:"/>
    <w:rsid w:val="004B0A62"/>
    <w:rPr>
      <w:rFonts w:ascii="Calibri" w:hAnsi="Calibri" w:cs="Times New Roman"/>
      <w:b/>
      <w:bCs/>
      <w:color w:val="7C6440"/>
    </w:rPr>
  </w:style>
  <w:style w:type="character" w:customStyle="1" w:styleId="PlaceDate">
    <w:name w:val="Place &amp; Date"/>
    <w:rsid w:val="004B0A62"/>
    <w:rPr>
      <w:rFonts w:ascii="Calibri" w:hAnsi="Calibri" w:cs="Times New Roman"/>
      <w:color w:val="7C7C7C"/>
    </w:rPr>
  </w:style>
  <w:style w:type="character" w:styleId="Hyperlink">
    <w:name w:val="Hyperlink"/>
    <w:rsid w:val="000878CF"/>
    <w:rPr>
      <w:rFonts w:cs="Times New Roman"/>
      <w:color w:val="BD392D"/>
      <w:u w:val="single"/>
      <w:effect w:val="none"/>
    </w:rPr>
  </w:style>
  <w:style w:type="paragraph" w:styleId="BalloonText">
    <w:name w:val="Balloon Text"/>
    <w:basedOn w:val="Normal"/>
    <w:link w:val="BalloonTextChar"/>
    <w:semiHidden/>
    <w:rsid w:val="006964CA"/>
    <w:rPr>
      <w:rFonts w:ascii="Tahoma" w:hAnsi="Tahoma" w:cs="Tahoma"/>
      <w:sz w:val="16"/>
      <w:szCs w:val="16"/>
    </w:rPr>
  </w:style>
  <w:style w:type="character" w:customStyle="1" w:styleId="BalloonTextChar">
    <w:name w:val="Balloon Text Char"/>
    <w:link w:val="BalloonText"/>
    <w:semiHidden/>
    <w:locked/>
    <w:rsid w:val="008C24D6"/>
    <w:rPr>
      <w:rFonts w:cs="Times New Roman"/>
      <w:sz w:val="2"/>
    </w:rPr>
  </w:style>
  <w:style w:type="character" w:styleId="CommentReference">
    <w:name w:val="annotation reference"/>
    <w:semiHidden/>
    <w:rsid w:val="005D3E51"/>
    <w:rPr>
      <w:rFonts w:cs="Times New Roman"/>
      <w:sz w:val="16"/>
      <w:szCs w:val="16"/>
    </w:rPr>
  </w:style>
  <w:style w:type="paragraph" w:styleId="CommentText">
    <w:name w:val="annotation text"/>
    <w:basedOn w:val="Normal"/>
    <w:link w:val="CommentTextChar"/>
    <w:semiHidden/>
    <w:rsid w:val="005D3E51"/>
    <w:rPr>
      <w:sz w:val="20"/>
      <w:szCs w:val="20"/>
    </w:rPr>
  </w:style>
  <w:style w:type="character" w:customStyle="1" w:styleId="CommentTextChar">
    <w:name w:val="Comment Text Char"/>
    <w:link w:val="CommentText"/>
    <w:semiHidden/>
    <w:locked/>
    <w:rsid w:val="008C24D6"/>
    <w:rPr>
      <w:rFonts w:cs="Times New Roman"/>
      <w:sz w:val="20"/>
      <w:szCs w:val="20"/>
    </w:rPr>
  </w:style>
  <w:style w:type="paragraph" w:styleId="CommentSubject">
    <w:name w:val="annotation subject"/>
    <w:basedOn w:val="CommentText"/>
    <w:next w:val="CommentText"/>
    <w:link w:val="CommentSubjectChar"/>
    <w:semiHidden/>
    <w:rsid w:val="005D3E51"/>
    <w:rPr>
      <w:b/>
      <w:bCs/>
    </w:rPr>
  </w:style>
  <w:style w:type="character" w:customStyle="1" w:styleId="CommentSubjectChar">
    <w:name w:val="Comment Subject Char"/>
    <w:link w:val="CommentSubject"/>
    <w:semiHidden/>
    <w:locked/>
    <w:rsid w:val="008C24D6"/>
    <w:rPr>
      <w:rFonts w:cs="Times New Roman"/>
      <w:b/>
      <w:bCs/>
      <w:sz w:val="20"/>
      <w:szCs w:val="20"/>
    </w:rPr>
  </w:style>
  <w:style w:type="character" w:styleId="Emphasis">
    <w:name w:val="Emphasis"/>
    <w:uiPriority w:val="20"/>
    <w:qFormat/>
    <w:rsid w:val="00AC0C4E"/>
    <w:rPr>
      <w:rFonts w:cs="Times New Roman"/>
      <w:i/>
      <w:iCs/>
    </w:rPr>
  </w:style>
  <w:style w:type="paragraph" w:customStyle="1" w:styleId="mainhead">
    <w:name w:val="mainhead"/>
    <w:basedOn w:val="Normal"/>
    <w:rsid w:val="0086276B"/>
    <w:pPr>
      <w:spacing w:before="240" w:line="360" w:lineRule="exact"/>
    </w:pPr>
    <w:rPr>
      <w:b/>
      <w:sz w:val="36"/>
      <w:szCs w:val="20"/>
      <w:lang w:val="en-GB"/>
    </w:rPr>
  </w:style>
  <w:style w:type="character" w:styleId="FollowedHyperlink">
    <w:name w:val="FollowedHyperlink"/>
    <w:rsid w:val="00C23AA8"/>
    <w:rPr>
      <w:rFonts w:cs="Times New Roman"/>
      <w:color w:val="800080"/>
      <w:u w:val="single"/>
    </w:rPr>
  </w:style>
  <w:style w:type="paragraph" w:styleId="NormalWeb">
    <w:name w:val="Normal (Web)"/>
    <w:basedOn w:val="Normal"/>
    <w:rsid w:val="00D753EF"/>
    <w:pPr>
      <w:spacing w:before="100" w:beforeAutospacing="1" w:after="100" w:afterAutospacing="1"/>
    </w:pPr>
  </w:style>
  <w:style w:type="character" w:styleId="Strong">
    <w:name w:val="Strong"/>
    <w:uiPriority w:val="22"/>
    <w:qFormat/>
    <w:rsid w:val="00D753EF"/>
    <w:rPr>
      <w:rFonts w:cs="Times New Roman"/>
      <w:b/>
      <w:bCs/>
    </w:rPr>
  </w:style>
  <w:style w:type="paragraph" w:styleId="Header">
    <w:name w:val="header"/>
    <w:basedOn w:val="Normal"/>
    <w:link w:val="HeaderChar"/>
    <w:uiPriority w:val="99"/>
    <w:rsid w:val="00F2762C"/>
    <w:pPr>
      <w:tabs>
        <w:tab w:val="center" w:pos="4320"/>
        <w:tab w:val="right" w:pos="8640"/>
      </w:tabs>
    </w:pPr>
  </w:style>
  <w:style w:type="character" w:customStyle="1" w:styleId="HeaderChar">
    <w:name w:val="Header Char"/>
    <w:link w:val="Header"/>
    <w:uiPriority w:val="99"/>
    <w:locked/>
    <w:rsid w:val="008C24D6"/>
    <w:rPr>
      <w:rFonts w:cs="Times New Roman"/>
      <w:sz w:val="24"/>
      <w:szCs w:val="24"/>
    </w:rPr>
  </w:style>
  <w:style w:type="paragraph" w:styleId="Footer">
    <w:name w:val="footer"/>
    <w:basedOn w:val="Normal"/>
    <w:link w:val="FooterChar"/>
    <w:rsid w:val="00F2762C"/>
    <w:pPr>
      <w:tabs>
        <w:tab w:val="center" w:pos="4320"/>
        <w:tab w:val="right" w:pos="8640"/>
      </w:tabs>
    </w:pPr>
  </w:style>
  <w:style w:type="character" w:customStyle="1" w:styleId="FooterChar">
    <w:name w:val="Footer Char"/>
    <w:link w:val="Footer"/>
    <w:semiHidden/>
    <w:locked/>
    <w:rsid w:val="008C24D6"/>
    <w:rPr>
      <w:rFonts w:cs="Times New Roman"/>
      <w:sz w:val="24"/>
      <w:szCs w:val="24"/>
    </w:rPr>
  </w:style>
  <w:style w:type="character" w:customStyle="1" w:styleId="PlainTextChar">
    <w:name w:val="Plain Text Char"/>
    <w:locked/>
    <w:rsid w:val="002A60B6"/>
    <w:rPr>
      <w:rFonts w:ascii="Consolas" w:hAnsi="Consolas"/>
    </w:rPr>
  </w:style>
  <w:style w:type="paragraph" w:styleId="PlainText">
    <w:name w:val="Plain Text"/>
    <w:basedOn w:val="Normal"/>
    <w:link w:val="PlainTextChar1"/>
    <w:rsid w:val="002A60B6"/>
    <w:rPr>
      <w:rFonts w:ascii="Consolas" w:hAnsi="Consolas"/>
      <w:sz w:val="20"/>
      <w:szCs w:val="20"/>
    </w:rPr>
  </w:style>
  <w:style w:type="character" w:customStyle="1" w:styleId="PlainTextChar1">
    <w:name w:val="Plain Text Char1"/>
    <w:link w:val="PlainText"/>
    <w:semiHidden/>
    <w:locked/>
    <w:rsid w:val="008C24D6"/>
    <w:rPr>
      <w:rFonts w:ascii="Courier New" w:hAnsi="Courier New" w:cs="Courier New"/>
      <w:sz w:val="20"/>
      <w:szCs w:val="20"/>
    </w:rPr>
  </w:style>
  <w:style w:type="paragraph" w:customStyle="1" w:styleId="Default">
    <w:name w:val="Default"/>
    <w:rsid w:val="00CC4DBE"/>
    <w:pPr>
      <w:widowControl w:val="0"/>
      <w:autoSpaceDE w:val="0"/>
      <w:autoSpaceDN w:val="0"/>
      <w:adjustRightInd w:val="0"/>
    </w:pPr>
    <w:rPr>
      <w:rFonts w:eastAsia="MS Mincho"/>
      <w:color w:val="000000"/>
      <w:sz w:val="24"/>
      <w:szCs w:val="24"/>
      <w:lang w:val="en-GB" w:eastAsia="ja-JP"/>
    </w:rPr>
  </w:style>
  <w:style w:type="paragraph" w:customStyle="1" w:styleId="ac-01">
    <w:name w:val="ac-01"/>
    <w:basedOn w:val="Default"/>
    <w:next w:val="Default"/>
    <w:rsid w:val="00CC4DBE"/>
    <w:rPr>
      <w:color w:val="auto"/>
    </w:rPr>
  </w:style>
  <w:style w:type="paragraph" w:styleId="Title">
    <w:name w:val="Title"/>
    <w:basedOn w:val="Normal"/>
    <w:link w:val="TitleChar"/>
    <w:uiPriority w:val="10"/>
    <w:qFormat/>
    <w:locked/>
    <w:rsid w:val="00CC4DBE"/>
    <w:pPr>
      <w:jc w:val="center"/>
    </w:pPr>
    <w:rPr>
      <w:b/>
      <w:szCs w:val="20"/>
      <w:lang w:eastAsia="en-GB"/>
    </w:rPr>
  </w:style>
  <w:style w:type="character" w:customStyle="1" w:styleId="TitleChar">
    <w:name w:val="Title Char"/>
    <w:link w:val="Title"/>
    <w:uiPriority w:val="10"/>
    <w:locked/>
    <w:rsid w:val="008C24D6"/>
    <w:rPr>
      <w:rFonts w:ascii="Cambria" w:hAnsi="Cambria" w:cs="Times New Roman"/>
      <w:b/>
      <w:bCs/>
      <w:kern w:val="28"/>
      <w:sz w:val="32"/>
      <w:szCs w:val="32"/>
    </w:rPr>
  </w:style>
  <w:style w:type="numbering" w:customStyle="1" w:styleId="Style1">
    <w:name w:val="Style1"/>
    <w:rsid w:val="00273B7C"/>
    <w:pPr>
      <w:numPr>
        <w:numId w:val="1"/>
      </w:numPr>
    </w:pPr>
  </w:style>
  <w:style w:type="numbering" w:customStyle="1" w:styleId="Style2">
    <w:name w:val="Style2"/>
    <w:rsid w:val="00273B7C"/>
    <w:pPr>
      <w:numPr>
        <w:numId w:val="3"/>
      </w:numPr>
    </w:pPr>
  </w:style>
  <w:style w:type="paragraph" w:styleId="ListParagraph">
    <w:name w:val="List Paragraph"/>
    <w:basedOn w:val="Normal"/>
    <w:uiPriority w:val="34"/>
    <w:qFormat/>
    <w:rsid w:val="00C728DC"/>
    <w:pPr>
      <w:ind w:left="720"/>
      <w:contextualSpacing/>
    </w:pPr>
    <w:rPr>
      <w:lang w:val="en-GB"/>
    </w:rPr>
  </w:style>
  <w:style w:type="character" w:customStyle="1" w:styleId="Heading2Char">
    <w:name w:val="Heading 2 Char"/>
    <w:basedOn w:val="DefaultParagraphFont"/>
    <w:link w:val="Heading2"/>
    <w:uiPriority w:val="9"/>
    <w:rsid w:val="004E5DAD"/>
    <w:rPr>
      <w:rFonts w:ascii="Arial" w:eastAsiaTheme="majorEastAsia" w:hAnsi="Arial" w:cstheme="majorBidi"/>
      <w:b/>
      <w:bCs/>
      <w:sz w:val="24"/>
      <w:szCs w:val="26"/>
      <w:lang w:val="en-US" w:eastAsia="ja-JP"/>
    </w:rPr>
  </w:style>
  <w:style w:type="character" w:customStyle="1" w:styleId="apple-converted-space">
    <w:name w:val="apple-converted-space"/>
    <w:basedOn w:val="DefaultParagraphFont"/>
    <w:rsid w:val="00834A2F"/>
  </w:style>
  <w:style w:type="character" w:customStyle="1" w:styleId="FootnoteTextChar">
    <w:name w:val="Footnote Text Char"/>
    <w:aliases w:val="Footnote Text Char2 Char,Footnote Text Char11 Char,Footnote Text Char3 Char,Footnote Text Char4 Char,Footnote Text Char5 Char,Footnote Text Char6 Char,Footnote Text Char12 Char,Footnote Text Char21 Char,Footnote Text Char31 Char"/>
    <w:basedOn w:val="DefaultParagraphFont"/>
    <w:link w:val="FootnoteText"/>
    <w:uiPriority w:val="99"/>
    <w:locked/>
    <w:rsid w:val="00490511"/>
    <w:rPr>
      <w:lang w:val="en-GB" w:eastAsia="en-GB"/>
    </w:rPr>
  </w:style>
  <w:style w:type="paragraph" w:styleId="FootnoteText">
    <w:name w:val="footnote text"/>
    <w:aliases w:val="Footnote Text Char2,Footnote Text Char11,Footnote Text Char3,Footnote Text Char4,Footnote Text Char5,Footnote Text Char6,Footnote Text Char12,Footnote Text Char21,Footnote Text Char31,Footnote New,Ch"/>
    <w:basedOn w:val="Normal"/>
    <w:link w:val="FootnoteTextChar"/>
    <w:uiPriority w:val="99"/>
    <w:unhideWhenUsed/>
    <w:rsid w:val="00490511"/>
    <w:rPr>
      <w:sz w:val="20"/>
      <w:szCs w:val="20"/>
      <w:lang w:val="en-GB" w:eastAsia="en-GB"/>
    </w:rPr>
  </w:style>
  <w:style w:type="character" w:customStyle="1" w:styleId="FootnoteTextChar1">
    <w:name w:val="Footnote Text Char1"/>
    <w:basedOn w:val="DefaultParagraphFont"/>
    <w:rsid w:val="00490511"/>
    <w:rPr>
      <w:lang w:val="en-US" w:eastAsia="en-US"/>
    </w:rPr>
  </w:style>
  <w:style w:type="table" w:styleId="TableGrid">
    <w:name w:val="Table Grid"/>
    <w:basedOn w:val="TableNormal"/>
    <w:uiPriority w:val="99"/>
    <w:locked/>
    <w:rsid w:val="00FB743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FB743B"/>
    <w:rPr>
      <w:rFonts w:asciiTheme="majorHAnsi" w:eastAsiaTheme="majorEastAsia" w:hAnsiTheme="majorHAnsi" w:cstheme="majorBidi"/>
      <w:b/>
      <w:b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200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100"/>
                  <w:divBdr>
                    <w:top w:val="none" w:sz="0" w:space="0" w:color="auto"/>
                    <w:left w:val="none" w:sz="0" w:space="0" w:color="auto"/>
                    <w:bottom w:val="none" w:sz="0" w:space="0" w:color="auto"/>
                    <w:right w:val="none" w:sz="0" w:space="0" w:color="auto"/>
                  </w:divBdr>
                  <w:divsChild>
                    <w:div w:id="12">
                      <w:marLeft w:val="100"/>
                      <w:marRight w:val="10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300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150"/>
                  <w:divBdr>
                    <w:top w:val="none" w:sz="0" w:space="0" w:color="auto"/>
                    <w:left w:val="none" w:sz="0" w:space="0" w:color="auto"/>
                    <w:bottom w:val="none" w:sz="0" w:space="0" w:color="auto"/>
                    <w:right w:val="none" w:sz="0" w:space="0" w:color="auto"/>
                  </w:divBdr>
                  <w:divsChild>
                    <w:div w:id="8">
                      <w:marLeft w:val="150"/>
                      <w:marRight w:val="15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single" w:sz="8" w:space="1"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200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100"/>
                  <w:divBdr>
                    <w:top w:val="none" w:sz="0" w:space="0" w:color="auto"/>
                    <w:left w:val="none" w:sz="0" w:space="0" w:color="auto"/>
                    <w:bottom w:val="none" w:sz="0" w:space="0" w:color="auto"/>
                    <w:right w:val="none" w:sz="0" w:space="0" w:color="auto"/>
                  </w:divBdr>
                  <w:divsChild>
                    <w:div w:id="6">
                      <w:marLeft w:val="100"/>
                      <w:marRight w:val="10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single" w:sz="8" w:space="1"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39593704">
      <w:bodyDiv w:val="1"/>
      <w:marLeft w:val="0"/>
      <w:marRight w:val="0"/>
      <w:marTop w:val="0"/>
      <w:marBottom w:val="0"/>
      <w:divBdr>
        <w:top w:val="none" w:sz="0" w:space="0" w:color="auto"/>
        <w:left w:val="none" w:sz="0" w:space="0" w:color="auto"/>
        <w:bottom w:val="none" w:sz="0" w:space="0" w:color="auto"/>
        <w:right w:val="none" w:sz="0" w:space="0" w:color="auto"/>
      </w:divBdr>
    </w:div>
    <w:div w:id="508952689">
      <w:bodyDiv w:val="1"/>
      <w:marLeft w:val="0"/>
      <w:marRight w:val="0"/>
      <w:marTop w:val="0"/>
      <w:marBottom w:val="0"/>
      <w:divBdr>
        <w:top w:val="none" w:sz="0" w:space="0" w:color="auto"/>
        <w:left w:val="none" w:sz="0" w:space="0" w:color="auto"/>
        <w:bottom w:val="none" w:sz="0" w:space="0" w:color="auto"/>
        <w:right w:val="none" w:sz="0" w:space="0" w:color="auto"/>
      </w:divBdr>
    </w:div>
    <w:div w:id="121963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dards@irba.co.za" TargetMode="External"/><Relationship Id="rId3" Type="http://schemas.openxmlformats.org/officeDocument/2006/relationships/settings" Target="settings.xml"/><Relationship Id="rId7" Type="http://schemas.openxmlformats.org/officeDocument/2006/relationships/hyperlink" Target="http://www.irba.co.za/guidance-to-ras/technical-guidance-for-auditors/ethics:-the-rules-and-the-code/the-rules-and-the-c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Committee for Auditing Standards</vt:lpstr>
    </vt:vector>
  </TitlesOfParts>
  <Company>IRBA</Company>
  <LinksUpToDate>false</LinksUpToDate>
  <CharactersWithSpaces>7269</CharactersWithSpaces>
  <SharedDoc>false</SharedDoc>
  <HLinks>
    <vt:vector size="18" baseType="variant">
      <vt:variant>
        <vt:i4>2424907</vt:i4>
      </vt:variant>
      <vt:variant>
        <vt:i4>3</vt:i4>
      </vt:variant>
      <vt:variant>
        <vt:i4>0</vt:i4>
      </vt:variant>
      <vt:variant>
        <vt:i4>5</vt:i4>
      </vt:variant>
      <vt:variant>
        <vt:lpwstr>mailto:standards@irba.co.za</vt:lpwstr>
      </vt:variant>
      <vt:variant>
        <vt:lpwstr/>
      </vt:variant>
      <vt:variant>
        <vt:i4>3407983</vt:i4>
      </vt:variant>
      <vt:variant>
        <vt:i4>0</vt:i4>
      </vt:variant>
      <vt:variant>
        <vt:i4>0</vt:i4>
      </vt:variant>
      <vt:variant>
        <vt:i4>5</vt:i4>
      </vt:variant>
      <vt:variant>
        <vt:lpwstr>http://www.irba.co.za/</vt:lpwstr>
      </vt:variant>
      <vt:variant>
        <vt:lpwstr/>
      </vt:variant>
      <vt:variant>
        <vt:i4>6029324</vt:i4>
      </vt:variant>
      <vt:variant>
        <vt:i4>0</vt:i4>
      </vt:variant>
      <vt:variant>
        <vt:i4>0</vt:i4>
      </vt:variant>
      <vt:variant>
        <vt:i4>5</vt:i4>
      </vt:variant>
      <vt:variant>
        <vt:lpwstr>http://www.irba.co.za/index.php/auditing-standards-functions-55/91?task=view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for Auditing Standards</dc:title>
  <dc:creator>tpeyper</dc:creator>
  <cp:lastModifiedBy>Henriette Fortuin</cp:lastModifiedBy>
  <cp:revision>4</cp:revision>
  <cp:lastPrinted>2016-01-25T09:38:00Z</cp:lastPrinted>
  <dcterms:created xsi:type="dcterms:W3CDTF">2016-06-22T08:10:00Z</dcterms:created>
  <dcterms:modified xsi:type="dcterms:W3CDTF">2016-07-08T10:48:00Z</dcterms:modified>
</cp:coreProperties>
</file>