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tbl>
            <w:tblPr>
              <w:tblStyle w:val="TableGrid"/>
              <w:tblW w:w="0" w:type="auto"/>
              <w:tblLook w:val="04A0" w:firstRow="1" w:lastRow="0" w:firstColumn="1" w:lastColumn="0" w:noHBand="0" w:noVBand="1"/>
            </w:tblPr>
            <w:tblGrid>
              <w:gridCol w:w="8741"/>
            </w:tblGrid>
            <w:tr w:rsidR="000860B3" w:rsidTr="00B4619D">
              <w:tc>
                <w:tcPr>
                  <w:tcW w:w="8741" w:type="dxa"/>
                  <w:tcBorders>
                    <w:top w:val="single" w:sz="4" w:space="0" w:color="auto"/>
                    <w:left w:val="nil"/>
                    <w:bottom w:val="single" w:sz="4" w:space="0" w:color="auto"/>
                    <w:right w:val="nil"/>
                  </w:tcBorders>
                </w:tcPr>
                <w:p w:rsidR="000860B3" w:rsidRDefault="000860B3" w:rsidP="00B4619D">
                  <w:pPr>
                    <w:spacing w:before="120" w:after="120" w:line="312" w:lineRule="atLeast"/>
                    <w:jc w:val="center"/>
                    <w:rPr>
                      <w:rFonts w:ascii="Arial" w:hAnsi="Arial" w:cs="Arial"/>
                      <w:b/>
                      <w:bCs/>
                      <w:color w:val="CC0000"/>
                      <w:lang w:val="en-GB"/>
                    </w:rPr>
                  </w:pPr>
                  <w:r w:rsidRPr="007279B3">
                    <w:rPr>
                      <w:rFonts w:ascii="Arial" w:hAnsi="Arial" w:cs="Arial"/>
                      <w:b/>
                      <w:bCs/>
                      <w:color w:val="CC0000"/>
                      <w:lang w:val="en-GB"/>
                    </w:rPr>
                    <w:t>INDEPENDENT REGULATORY BOARD FOR AUDITORS</w:t>
                  </w:r>
                </w:p>
                <w:p w:rsidR="000860B3" w:rsidRPr="00B4619D" w:rsidRDefault="000860B3" w:rsidP="00B4619D">
                  <w:pPr>
                    <w:spacing w:before="120" w:after="120" w:line="312" w:lineRule="atLeast"/>
                    <w:jc w:val="center"/>
                    <w:rPr>
                      <w:rFonts w:ascii="Arial" w:hAnsi="Arial" w:cs="Arial"/>
                      <w:b/>
                      <w:bCs/>
                      <w:color w:val="CC0000"/>
                      <w:lang w:val="en-GB"/>
                    </w:rPr>
                  </w:pPr>
                  <w:r>
                    <w:rPr>
                      <w:rFonts w:ascii="Arial" w:hAnsi="Arial" w:cs="Arial"/>
                      <w:b/>
                      <w:bCs/>
                      <w:color w:val="CC0000"/>
                      <w:lang w:val="en-GB"/>
                    </w:rPr>
                    <w:t>COMMITTEE FOR AUDITOR ETHICS</w:t>
                  </w:r>
                </w:p>
              </w:tc>
            </w:tr>
          </w:tbl>
          <w:p w:rsidR="000860B3" w:rsidRDefault="000860B3" w:rsidP="00C54FEE">
            <w:pPr>
              <w:spacing w:before="120" w:after="120"/>
              <w:jc w:val="center"/>
              <w:rPr>
                <w:rFonts w:ascii="Arial" w:hAnsi="Arial" w:cs="Arial"/>
                <w:sz w:val="22"/>
                <w:szCs w:val="22"/>
                <w:lang w:val="en-GB"/>
              </w:rPr>
            </w:pPr>
          </w:p>
          <w:tbl>
            <w:tblPr>
              <w:tblStyle w:val="TableGrid"/>
              <w:tblW w:w="0" w:type="auto"/>
              <w:tblLook w:val="04A0" w:firstRow="1" w:lastRow="0" w:firstColumn="1" w:lastColumn="0" w:noHBand="0" w:noVBand="1"/>
            </w:tblPr>
            <w:tblGrid>
              <w:gridCol w:w="8741"/>
            </w:tblGrid>
            <w:tr w:rsidR="000860B3" w:rsidTr="00B4619D">
              <w:tc>
                <w:tcPr>
                  <w:tcW w:w="8741" w:type="dxa"/>
                  <w:tcBorders>
                    <w:top w:val="nil"/>
                    <w:left w:val="nil"/>
                    <w:bottom w:val="nil"/>
                    <w:right w:val="nil"/>
                  </w:tcBorders>
                </w:tcPr>
                <w:p w:rsidR="000860B3" w:rsidRDefault="000860B3" w:rsidP="000860B3">
                  <w:pPr>
                    <w:spacing w:before="120" w:after="120"/>
                    <w:jc w:val="center"/>
                    <w:rPr>
                      <w:rFonts w:ascii="Arial" w:hAnsi="Arial" w:cs="Arial"/>
                      <w:b/>
                      <w:sz w:val="22"/>
                      <w:szCs w:val="22"/>
                    </w:rPr>
                  </w:pPr>
                  <w:r>
                    <w:rPr>
                      <w:rFonts w:ascii="Arial" w:hAnsi="Arial" w:cs="Arial"/>
                      <w:b/>
                      <w:sz w:val="22"/>
                      <w:szCs w:val="22"/>
                    </w:rPr>
                    <w:t xml:space="preserve">Final Amendments to the IRBA Code of Professional Conduct for Registered Auditors Relating to the Provision Of Non-Assurance Services </w:t>
                  </w:r>
                </w:p>
                <w:p w:rsidR="000860B3" w:rsidRDefault="00B90765" w:rsidP="00B4619D">
                  <w:pPr>
                    <w:spacing w:before="120" w:after="120"/>
                    <w:jc w:val="center"/>
                    <w:rPr>
                      <w:rFonts w:ascii="Arial" w:hAnsi="Arial" w:cs="Arial"/>
                      <w:sz w:val="22"/>
                      <w:szCs w:val="22"/>
                      <w:lang w:val="en-GB"/>
                    </w:rPr>
                  </w:pPr>
                  <w:r>
                    <w:rPr>
                      <w:rFonts w:ascii="Arial" w:hAnsi="Arial" w:cs="Arial"/>
                      <w:sz w:val="22"/>
                      <w:szCs w:val="22"/>
                      <w:lang w:val="en-GB"/>
                    </w:rPr>
                    <w:t>Johannesburg / 22</w:t>
                  </w:r>
                  <w:r w:rsidR="000860B3">
                    <w:rPr>
                      <w:rFonts w:ascii="Arial" w:hAnsi="Arial" w:cs="Arial"/>
                      <w:sz w:val="22"/>
                      <w:szCs w:val="22"/>
                      <w:lang w:val="en-GB"/>
                    </w:rPr>
                    <w:t xml:space="preserve"> February 2016</w:t>
                  </w:r>
                </w:p>
                <w:p w:rsidR="00B4619D" w:rsidRDefault="00B4619D" w:rsidP="00B4619D">
                  <w:pPr>
                    <w:spacing w:before="120" w:after="120"/>
                    <w:jc w:val="center"/>
                    <w:rPr>
                      <w:rFonts w:ascii="Arial" w:hAnsi="Arial" w:cs="Arial"/>
                      <w:sz w:val="22"/>
                      <w:szCs w:val="22"/>
                      <w:lang w:val="en-GB"/>
                    </w:rPr>
                  </w:pPr>
                </w:p>
                <w:p w:rsidR="00B4619D" w:rsidRDefault="00B4619D" w:rsidP="00B4619D">
                  <w:pPr>
                    <w:keepNext/>
                    <w:keepLines/>
                    <w:tabs>
                      <w:tab w:val="left" w:pos="9326"/>
                    </w:tabs>
                    <w:ind w:left="113" w:right="253"/>
                    <w:jc w:val="both"/>
                    <w:rPr>
                      <w:rFonts w:ascii="Arial" w:hAnsi="Arial" w:cs="Arial"/>
                      <w:sz w:val="22"/>
                      <w:szCs w:val="22"/>
                    </w:rPr>
                  </w:pPr>
                  <w:r>
                    <w:rPr>
                      <w:rFonts w:ascii="Arial" w:hAnsi="Arial" w:cs="Arial"/>
                      <w:sz w:val="22"/>
                      <w:szCs w:val="22"/>
                    </w:rPr>
                    <w:t>The Independent Regulatory Board for Auditors (IRBA) draws the attention of all registered auditors to changes to the IRBA Code of Professional Conduct (IRBA Code) addressing the provision of certain non-a</w:t>
                  </w:r>
                  <w:r w:rsidRPr="00542AF5">
                    <w:rPr>
                      <w:rFonts w:ascii="Arial" w:hAnsi="Arial" w:cs="Arial"/>
                      <w:sz w:val="22"/>
                      <w:szCs w:val="22"/>
                    </w:rPr>
                    <w:t>ssurance</w:t>
                  </w:r>
                  <w:r>
                    <w:rPr>
                      <w:rFonts w:ascii="Arial" w:hAnsi="Arial" w:cs="Arial"/>
                      <w:sz w:val="22"/>
                      <w:szCs w:val="22"/>
                    </w:rPr>
                    <w:t xml:space="preserve"> services for audit and assurance c</w:t>
                  </w:r>
                  <w:r w:rsidRPr="00542AF5">
                    <w:rPr>
                      <w:rFonts w:ascii="Arial" w:hAnsi="Arial" w:cs="Arial"/>
                      <w:sz w:val="22"/>
                      <w:szCs w:val="22"/>
                    </w:rPr>
                    <w:t>lients</w:t>
                  </w:r>
                  <w:r>
                    <w:rPr>
                      <w:rFonts w:ascii="Arial" w:hAnsi="Arial" w:cs="Arial"/>
                      <w:sz w:val="22"/>
                      <w:szCs w:val="22"/>
                    </w:rPr>
                    <w:t>.</w:t>
                  </w:r>
                </w:p>
                <w:p w:rsidR="00B4619D" w:rsidRDefault="00B4619D" w:rsidP="00B4619D">
                  <w:pPr>
                    <w:keepNext/>
                    <w:keepLines/>
                    <w:tabs>
                      <w:tab w:val="left" w:pos="9326"/>
                    </w:tabs>
                    <w:ind w:right="253"/>
                    <w:jc w:val="both"/>
                    <w:rPr>
                      <w:rFonts w:ascii="Arial" w:hAnsi="Arial" w:cs="Arial"/>
                      <w:sz w:val="22"/>
                      <w:szCs w:val="22"/>
                    </w:rPr>
                  </w:pPr>
                </w:p>
                <w:p w:rsidR="00B4619D" w:rsidRDefault="00B4619D" w:rsidP="00B4619D">
                  <w:pPr>
                    <w:autoSpaceDE w:val="0"/>
                    <w:autoSpaceDN w:val="0"/>
                    <w:adjustRightInd w:val="0"/>
                    <w:ind w:left="112" w:right="253"/>
                    <w:jc w:val="both"/>
                    <w:rPr>
                      <w:rFonts w:ascii="Arial" w:hAnsi="Arial" w:cs="Arial"/>
                      <w:sz w:val="22"/>
                      <w:szCs w:val="22"/>
                    </w:rPr>
                  </w:pPr>
                  <w:r>
                    <w:rPr>
                      <w:rFonts w:ascii="Arial" w:hAnsi="Arial" w:cs="Arial"/>
                      <w:sz w:val="22"/>
                      <w:szCs w:val="22"/>
                    </w:rPr>
                    <w:t xml:space="preserve">The IRBA adopted the amendments made to the IESBA Code of Ethics for Professional Accountants (IESBA Code), issued during 2015, following the issue on exposure in South Africa on 20 November 2015 for public comment (Board Notice 254 of 2015). </w:t>
                  </w:r>
                </w:p>
                <w:p w:rsidR="00B4619D" w:rsidRDefault="00B4619D" w:rsidP="00B4619D">
                  <w:pPr>
                    <w:keepNext/>
                    <w:keepLines/>
                    <w:tabs>
                      <w:tab w:val="left" w:pos="9326"/>
                    </w:tabs>
                    <w:ind w:left="113" w:right="253"/>
                    <w:jc w:val="both"/>
                    <w:rPr>
                      <w:rFonts w:ascii="Arial" w:hAnsi="Arial" w:cs="Arial"/>
                      <w:sz w:val="22"/>
                      <w:szCs w:val="22"/>
                    </w:rPr>
                  </w:pPr>
                </w:p>
                <w:p w:rsidR="00B4619D" w:rsidRDefault="00B4619D" w:rsidP="00B4619D">
                  <w:pPr>
                    <w:keepNext/>
                    <w:keepLines/>
                    <w:tabs>
                      <w:tab w:val="left" w:pos="9326"/>
                    </w:tabs>
                    <w:ind w:left="113" w:right="253"/>
                    <w:jc w:val="both"/>
                    <w:rPr>
                      <w:rFonts w:ascii="Arial" w:hAnsi="Arial" w:cs="Arial"/>
                      <w:sz w:val="22"/>
                      <w:szCs w:val="22"/>
                    </w:rPr>
                  </w:pPr>
                  <w:r w:rsidRPr="00542AF5">
                    <w:rPr>
                      <w:rFonts w:ascii="Arial" w:hAnsi="Arial" w:cs="Arial"/>
                      <w:sz w:val="22"/>
                      <w:szCs w:val="22"/>
                    </w:rPr>
                    <w:t xml:space="preserve">The </w:t>
                  </w:r>
                  <w:r w:rsidRPr="00F87FF9">
                    <w:rPr>
                      <w:rFonts w:ascii="Arial" w:hAnsi="Arial" w:cs="Arial"/>
                      <w:sz w:val="22"/>
                      <w:szCs w:val="22"/>
                    </w:rPr>
                    <w:t>changes in the pronouncement enhance the independence provisions in the</w:t>
                  </w:r>
                  <w:r>
                    <w:rPr>
                      <w:rFonts w:ascii="Arial" w:hAnsi="Arial" w:cs="Arial"/>
                      <w:sz w:val="22"/>
                      <w:szCs w:val="22"/>
                    </w:rPr>
                    <w:t xml:space="preserve"> </w:t>
                  </w:r>
                  <w:r w:rsidRPr="00F87FF9">
                    <w:rPr>
                      <w:rFonts w:ascii="Arial" w:hAnsi="Arial" w:cs="Arial"/>
                      <w:iCs/>
                      <w:sz w:val="22"/>
                      <w:szCs w:val="22"/>
                    </w:rPr>
                    <w:t>IRBA Code</w:t>
                  </w:r>
                  <w:r>
                    <w:rPr>
                      <w:rFonts w:ascii="Arial" w:hAnsi="Arial" w:cs="Arial"/>
                      <w:sz w:val="22"/>
                      <w:szCs w:val="22"/>
                    </w:rPr>
                    <w:t xml:space="preserve">. </w:t>
                  </w:r>
                  <w:r w:rsidRPr="00542AF5">
                    <w:rPr>
                      <w:rFonts w:ascii="Arial" w:hAnsi="Arial" w:cs="Arial"/>
                      <w:sz w:val="22"/>
                      <w:szCs w:val="22"/>
                    </w:rPr>
                    <w:t>Th</w:t>
                  </w:r>
                  <w:r>
                    <w:rPr>
                      <w:rFonts w:ascii="Arial" w:hAnsi="Arial" w:cs="Arial"/>
                      <w:sz w:val="22"/>
                      <w:szCs w:val="22"/>
                    </w:rPr>
                    <w:t>ese</w:t>
                  </w:r>
                  <w:r w:rsidRPr="00542AF5">
                    <w:rPr>
                      <w:rFonts w:ascii="Arial" w:hAnsi="Arial" w:cs="Arial"/>
                      <w:sz w:val="22"/>
                      <w:szCs w:val="22"/>
                    </w:rPr>
                    <w:t xml:space="preserve"> revisions include</w:t>
                  </w:r>
                  <w:r>
                    <w:rPr>
                      <w:rFonts w:ascii="Arial" w:hAnsi="Arial" w:cs="Arial"/>
                      <w:sz w:val="22"/>
                      <w:szCs w:val="22"/>
                    </w:rPr>
                    <w:t xml:space="preserve"> the following:</w:t>
                  </w:r>
                </w:p>
                <w:p w:rsidR="00B4619D" w:rsidRDefault="00B4619D" w:rsidP="00B4619D">
                  <w:pPr>
                    <w:keepNext/>
                    <w:keepLines/>
                    <w:tabs>
                      <w:tab w:val="left" w:pos="9326"/>
                    </w:tabs>
                    <w:ind w:left="113" w:right="253"/>
                    <w:jc w:val="both"/>
                    <w:rPr>
                      <w:rFonts w:ascii="Arial" w:hAnsi="Arial" w:cs="Arial"/>
                      <w:sz w:val="22"/>
                      <w:szCs w:val="22"/>
                    </w:rPr>
                  </w:pPr>
                </w:p>
                <w:p w:rsidR="00B4619D" w:rsidRPr="00E25F57" w:rsidRDefault="00B4619D" w:rsidP="00B4619D">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Pr>
                      <w:rFonts w:ascii="Arial" w:hAnsi="Arial" w:cs="Arial"/>
                      <w:sz w:val="22"/>
                      <w:szCs w:val="22"/>
                      <w:lang w:val="en-US"/>
                    </w:rPr>
                    <w:t>N</w:t>
                  </w:r>
                  <w:r w:rsidRPr="00F87FF9">
                    <w:rPr>
                      <w:rFonts w:ascii="Arial" w:hAnsi="Arial" w:cs="Arial"/>
                      <w:sz w:val="22"/>
                      <w:szCs w:val="22"/>
                      <w:lang w:val="en-US"/>
                    </w:rPr>
                    <w:t>o longer permitting registered auditors to provide certain prohibited non-assurance services to public interest entity (PIE) audit clients in emergency situations, as these were susceptible to b</w:t>
                  </w:r>
                  <w:r>
                    <w:rPr>
                      <w:rFonts w:ascii="Arial" w:hAnsi="Arial" w:cs="Arial"/>
                      <w:sz w:val="22"/>
                      <w:szCs w:val="22"/>
                      <w:lang w:val="en-US"/>
                    </w:rPr>
                    <w:t>eing interpreted too generally;</w:t>
                  </w:r>
                </w:p>
                <w:p w:rsidR="00B4619D" w:rsidRPr="00542AF5" w:rsidRDefault="00B4619D" w:rsidP="00B4619D">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sidRPr="00542AF5">
                    <w:rPr>
                      <w:rFonts w:ascii="Arial" w:hAnsi="Arial" w:cs="Arial"/>
                      <w:sz w:val="22"/>
                      <w:szCs w:val="22"/>
                      <w:lang w:val="en-US"/>
                    </w:rPr>
                    <w:t>New and clarified guidance regarding what constitutes management responsibility</w:t>
                  </w:r>
                  <w:r>
                    <w:rPr>
                      <w:rFonts w:ascii="Arial" w:hAnsi="Arial" w:cs="Arial"/>
                      <w:sz w:val="22"/>
                      <w:szCs w:val="22"/>
                      <w:lang w:val="en-US"/>
                    </w:rPr>
                    <w:t xml:space="preserve">, thus </w:t>
                  </w:r>
                  <w:r w:rsidRPr="00F87FF9">
                    <w:rPr>
                      <w:rFonts w:ascii="Arial" w:hAnsi="Arial" w:cs="Arial"/>
                      <w:sz w:val="22"/>
                      <w:szCs w:val="22"/>
                      <w:lang w:val="en-US"/>
                    </w:rPr>
                    <w:t>ensuring that they do not assume management responsibility when providing non-assu</w:t>
                  </w:r>
                  <w:r>
                    <w:rPr>
                      <w:rFonts w:ascii="Arial" w:hAnsi="Arial" w:cs="Arial"/>
                      <w:sz w:val="22"/>
                      <w:szCs w:val="22"/>
                      <w:lang w:val="en-US"/>
                    </w:rPr>
                    <w:t>rance services to audit clients</w:t>
                  </w:r>
                  <w:r w:rsidRPr="00542AF5">
                    <w:rPr>
                      <w:rFonts w:ascii="Arial" w:hAnsi="Arial" w:cs="Arial"/>
                      <w:sz w:val="22"/>
                      <w:szCs w:val="22"/>
                      <w:lang w:val="en-US"/>
                    </w:rPr>
                    <w:t xml:space="preserve">; </w:t>
                  </w:r>
                </w:p>
                <w:p w:rsidR="00B4619D" w:rsidRDefault="00B4619D" w:rsidP="00B4619D">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sidRPr="00542AF5">
                    <w:rPr>
                      <w:rFonts w:ascii="Arial" w:hAnsi="Arial" w:cs="Arial"/>
                      <w:sz w:val="22"/>
                      <w:szCs w:val="22"/>
                      <w:lang w:val="en-US"/>
                    </w:rPr>
                    <w:t xml:space="preserve">Clarified guidance regarding the concept of </w:t>
                  </w:r>
                  <w:r>
                    <w:rPr>
                      <w:rFonts w:ascii="Arial" w:hAnsi="Arial" w:cs="Arial"/>
                      <w:sz w:val="22"/>
                      <w:szCs w:val="22"/>
                      <w:lang w:val="en-US"/>
                    </w:rPr>
                    <w:t>ˈ</w:t>
                  </w:r>
                  <w:r w:rsidRPr="00542AF5">
                    <w:rPr>
                      <w:rFonts w:ascii="Arial" w:hAnsi="Arial" w:cs="Arial"/>
                      <w:sz w:val="22"/>
                      <w:szCs w:val="22"/>
                      <w:lang w:val="en-US"/>
                    </w:rPr>
                    <w:t>routine or mechanical</w:t>
                  </w:r>
                  <w:r>
                    <w:rPr>
                      <w:rFonts w:ascii="Arial" w:hAnsi="Arial" w:cs="Arial"/>
                      <w:sz w:val="22"/>
                      <w:szCs w:val="22"/>
                      <w:lang w:val="en-US"/>
                    </w:rPr>
                    <w:t>ˈ</w:t>
                  </w:r>
                  <w:r w:rsidRPr="00542AF5">
                    <w:rPr>
                      <w:rFonts w:ascii="Arial" w:hAnsi="Arial" w:cs="Arial"/>
                      <w:sz w:val="22"/>
                      <w:szCs w:val="22"/>
                      <w:lang w:val="en-US"/>
                    </w:rPr>
                    <w:t xml:space="preserve"> services relating to the preparation of accounting records and financial statements for audit clients that are not PIEs</w:t>
                  </w:r>
                  <w:r>
                    <w:rPr>
                      <w:rFonts w:ascii="Arial" w:hAnsi="Arial" w:cs="Arial"/>
                      <w:sz w:val="22"/>
                      <w:szCs w:val="22"/>
                      <w:lang w:val="en-US"/>
                    </w:rPr>
                    <w:t>; and</w:t>
                  </w:r>
                </w:p>
                <w:p w:rsidR="00B4619D" w:rsidRPr="00E25F57" w:rsidRDefault="00B4619D" w:rsidP="00B4619D">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Pr>
                      <w:rFonts w:ascii="Arial" w:hAnsi="Arial" w:cs="Arial"/>
                      <w:sz w:val="22"/>
                      <w:szCs w:val="22"/>
                    </w:rPr>
                    <w:t>C</w:t>
                  </w:r>
                  <w:r w:rsidRPr="00E25F57">
                    <w:rPr>
                      <w:rFonts w:ascii="Arial" w:hAnsi="Arial" w:cs="Arial"/>
                      <w:sz w:val="22"/>
                      <w:szCs w:val="22"/>
                    </w:rPr>
                    <w:t xml:space="preserve">orresponding changes to the </w:t>
                  </w:r>
                  <w:r>
                    <w:rPr>
                      <w:rFonts w:ascii="Arial" w:hAnsi="Arial" w:cs="Arial"/>
                      <w:sz w:val="22"/>
                      <w:szCs w:val="22"/>
                    </w:rPr>
                    <w:t xml:space="preserve">IRBA </w:t>
                  </w:r>
                  <w:r w:rsidRPr="00E25F57">
                    <w:rPr>
                      <w:rFonts w:ascii="Arial" w:hAnsi="Arial" w:cs="Arial"/>
                      <w:sz w:val="22"/>
                      <w:szCs w:val="22"/>
                    </w:rPr>
                    <w:t>Code</w:t>
                  </w:r>
                  <w:r>
                    <w:rPr>
                      <w:rFonts w:ascii="Arial" w:hAnsi="Arial" w:cs="Arial"/>
                      <w:sz w:val="22"/>
                      <w:szCs w:val="22"/>
                    </w:rPr>
                    <w:t>ˈ</w:t>
                  </w:r>
                  <w:r w:rsidRPr="00E25F57">
                    <w:rPr>
                      <w:rFonts w:ascii="Arial" w:hAnsi="Arial" w:cs="Arial"/>
                      <w:sz w:val="22"/>
                      <w:szCs w:val="22"/>
                    </w:rPr>
                    <w:t>s non-assurance services provisions with respect to other assurance clients</w:t>
                  </w:r>
                  <w:r>
                    <w:rPr>
                      <w:rFonts w:ascii="Arial" w:hAnsi="Arial" w:cs="Arial"/>
                      <w:sz w:val="22"/>
                      <w:szCs w:val="22"/>
                    </w:rPr>
                    <w:t xml:space="preserve"> (Section 291)</w:t>
                  </w:r>
                  <w:r w:rsidRPr="00E25F57">
                    <w:rPr>
                      <w:rFonts w:ascii="Arial" w:hAnsi="Arial" w:cs="Arial"/>
                      <w:sz w:val="22"/>
                      <w:szCs w:val="22"/>
                    </w:rPr>
                    <w:t>.</w:t>
                  </w:r>
                </w:p>
                <w:p w:rsidR="00B4619D" w:rsidRDefault="00B4619D" w:rsidP="00B4619D">
                  <w:pPr>
                    <w:autoSpaceDE w:val="0"/>
                    <w:autoSpaceDN w:val="0"/>
                    <w:adjustRightInd w:val="0"/>
                    <w:spacing w:after="120" w:line="271" w:lineRule="auto"/>
                    <w:jc w:val="both"/>
                    <w:rPr>
                      <w:rFonts w:ascii="Arial" w:hAnsi="Arial" w:cs="Arial"/>
                      <w:sz w:val="22"/>
                      <w:szCs w:val="22"/>
                    </w:rPr>
                  </w:pPr>
                  <w:r>
                    <w:rPr>
                      <w:rFonts w:ascii="Arial" w:hAnsi="Arial" w:cs="Arial"/>
                      <w:sz w:val="22"/>
                      <w:szCs w:val="22"/>
                    </w:rPr>
                    <w:t xml:space="preserve">A Board Notice will be included in the Government Gazette, advising on the publication of the amendments to the IRBA </w:t>
                  </w:r>
                  <w:r w:rsidRPr="007615A9">
                    <w:rPr>
                      <w:rFonts w:ascii="Arial" w:hAnsi="Arial" w:cs="Arial"/>
                      <w:sz w:val="22"/>
                      <w:szCs w:val="22"/>
                    </w:rPr>
                    <w:t>Code</w:t>
                  </w:r>
                  <w:r>
                    <w:rPr>
                      <w:rFonts w:ascii="Arial" w:hAnsi="Arial" w:cs="Arial"/>
                      <w:i/>
                      <w:sz w:val="22"/>
                      <w:szCs w:val="22"/>
                    </w:rPr>
                    <w:t xml:space="preserve"> </w:t>
                  </w:r>
                  <w:r>
                    <w:rPr>
                      <w:rFonts w:ascii="Arial" w:hAnsi="Arial" w:cs="Arial"/>
                      <w:sz w:val="22"/>
                      <w:szCs w:val="22"/>
                    </w:rPr>
                    <w:t>pursuant to the provisions of Section 10(1)(a) of the Auditing Profession Act, 2005 (Act No.26 of 2005).</w:t>
                  </w:r>
                </w:p>
                <w:p w:rsidR="00B4619D" w:rsidRPr="005230B0" w:rsidRDefault="00B4619D" w:rsidP="00B4619D">
                  <w:pPr>
                    <w:autoSpaceDE w:val="0"/>
                    <w:autoSpaceDN w:val="0"/>
                    <w:adjustRightInd w:val="0"/>
                    <w:spacing w:after="120" w:line="271" w:lineRule="auto"/>
                    <w:jc w:val="both"/>
                    <w:rPr>
                      <w:rFonts w:ascii="Arial" w:hAnsi="Arial" w:cs="Arial"/>
                      <w:sz w:val="22"/>
                      <w:szCs w:val="22"/>
                    </w:rPr>
                  </w:pPr>
                </w:p>
                <w:p w:rsidR="00B4619D" w:rsidRDefault="00B4619D" w:rsidP="00B4619D">
                  <w:pPr>
                    <w:pStyle w:val="FootnoteText"/>
                    <w:ind w:right="-172"/>
                    <w:jc w:val="both"/>
                    <w:rPr>
                      <w:rFonts w:ascii="Arial" w:hAnsi="Arial" w:cs="Arial"/>
                      <w:b/>
                      <w:sz w:val="22"/>
                      <w:szCs w:val="22"/>
                    </w:rPr>
                  </w:pPr>
                  <w:r>
                    <w:rPr>
                      <w:rFonts w:ascii="Arial" w:hAnsi="Arial" w:cs="Arial"/>
                      <w:b/>
                      <w:sz w:val="22"/>
                      <w:szCs w:val="22"/>
                    </w:rPr>
                    <w:t>Effective Date</w:t>
                  </w:r>
                </w:p>
                <w:p w:rsidR="00B4619D" w:rsidRDefault="00B4619D" w:rsidP="00B4619D">
                  <w:pPr>
                    <w:pStyle w:val="FootnoteText"/>
                    <w:ind w:right="-172"/>
                    <w:jc w:val="both"/>
                    <w:rPr>
                      <w:rFonts w:ascii="Arial" w:hAnsi="Arial" w:cs="Arial"/>
                      <w:b/>
                      <w:sz w:val="22"/>
                      <w:szCs w:val="22"/>
                    </w:rPr>
                  </w:pPr>
                </w:p>
                <w:p w:rsidR="00B4619D" w:rsidRPr="00542AF5" w:rsidRDefault="00B4619D" w:rsidP="00B4619D">
                  <w:pPr>
                    <w:pStyle w:val="NormalWeb"/>
                    <w:shd w:val="clear" w:color="auto" w:fill="FFFFFF"/>
                    <w:spacing w:before="0" w:beforeAutospacing="0" w:after="0" w:afterAutospacing="0" w:line="218" w:lineRule="atLeast"/>
                    <w:rPr>
                      <w:rFonts w:ascii="Arial" w:hAnsi="Arial" w:cs="Arial"/>
                      <w:sz w:val="22"/>
                      <w:szCs w:val="22"/>
                    </w:rPr>
                  </w:pPr>
                  <w:r w:rsidRPr="00542AF5">
                    <w:rPr>
                      <w:rFonts w:ascii="Arial" w:hAnsi="Arial" w:cs="Arial"/>
                      <w:sz w:val="22"/>
                      <w:szCs w:val="22"/>
                    </w:rPr>
                    <w:t>The changes will be effective</w:t>
                  </w:r>
                  <w:r>
                    <w:rPr>
                      <w:rFonts w:ascii="Arial" w:hAnsi="Arial" w:cs="Arial"/>
                      <w:sz w:val="22"/>
                      <w:szCs w:val="22"/>
                    </w:rPr>
                    <w:t xml:space="preserve"> on or after 15 April</w:t>
                  </w:r>
                  <w:r w:rsidRPr="00542AF5">
                    <w:rPr>
                      <w:rFonts w:ascii="Arial" w:hAnsi="Arial" w:cs="Arial"/>
                      <w:sz w:val="22"/>
                      <w:szCs w:val="22"/>
                    </w:rPr>
                    <w:t xml:space="preserve"> 2016, with early adoption permitted. See the pronouncement below for details. </w:t>
                  </w:r>
                </w:p>
                <w:p w:rsidR="00B4619D" w:rsidRDefault="00B4619D" w:rsidP="00B4619D">
                  <w:pPr>
                    <w:ind w:left="112"/>
                    <w:rPr>
                      <w:rFonts w:ascii="Arial" w:hAnsi="Arial" w:cs="Arial"/>
                      <w:sz w:val="22"/>
                      <w:szCs w:val="22"/>
                    </w:rPr>
                  </w:pPr>
                </w:p>
                <w:p w:rsidR="00B4619D" w:rsidRDefault="00B4619D" w:rsidP="00B4619D">
                  <w:pPr>
                    <w:ind w:right="253"/>
                    <w:jc w:val="both"/>
                    <w:rPr>
                      <w:rFonts w:ascii="Arial" w:hAnsi="Arial" w:cs="Arial"/>
                      <w:sz w:val="22"/>
                      <w:szCs w:val="22"/>
                    </w:rPr>
                  </w:pPr>
                  <w:r>
                    <w:rPr>
                      <w:rFonts w:ascii="Arial" w:hAnsi="Arial" w:cs="Arial"/>
                      <w:sz w:val="22"/>
                      <w:szCs w:val="22"/>
                    </w:rPr>
                    <w:t xml:space="preserve">The amendments to the IRBA Code may be downloaded from the </w:t>
                  </w:r>
                  <w:bookmarkStart w:id="0" w:name="_GoBack"/>
                  <w:bookmarkEnd w:id="0"/>
                  <w:r>
                    <w:rPr>
                      <w:rFonts w:ascii="Arial" w:hAnsi="Arial" w:cs="Arial"/>
                      <w:sz w:val="22"/>
                      <w:szCs w:val="22"/>
                    </w:rPr>
                    <w:t xml:space="preserve">IRBA </w:t>
                  </w:r>
                  <w:hyperlink r:id="rId7" w:history="1">
                    <w:r>
                      <w:rPr>
                        <w:rStyle w:val="Hyperlink"/>
                        <w:rFonts w:ascii="Arial" w:hAnsi="Arial" w:cs="Arial"/>
                        <w:sz w:val="22"/>
                        <w:szCs w:val="22"/>
                      </w:rPr>
                      <w:t>website</w:t>
                    </w:r>
                  </w:hyperlink>
                  <w:r>
                    <w:rPr>
                      <w:rFonts w:ascii="Arial" w:hAnsi="Arial" w:cs="Arial"/>
                      <w:sz w:val="22"/>
                      <w:szCs w:val="22"/>
                    </w:rPr>
                    <w:t xml:space="preserve">. </w:t>
                  </w:r>
                </w:p>
                <w:p w:rsidR="00B4619D" w:rsidRDefault="00B4619D" w:rsidP="00B4619D">
                  <w:pPr>
                    <w:pStyle w:val="NormalWeb"/>
                    <w:spacing w:before="0" w:beforeAutospacing="0" w:after="0" w:afterAutospacing="0"/>
                    <w:ind w:left="112" w:right="537"/>
                    <w:jc w:val="both"/>
                    <w:rPr>
                      <w:rFonts w:ascii="Arial" w:hAnsi="Arial" w:cs="Arial"/>
                      <w:sz w:val="22"/>
                      <w:szCs w:val="22"/>
                    </w:rPr>
                  </w:pPr>
                </w:p>
                <w:p w:rsidR="00B4619D" w:rsidRDefault="00B4619D" w:rsidP="00B4619D">
                  <w:pPr>
                    <w:pStyle w:val="NormalWeb"/>
                    <w:spacing w:before="0" w:beforeAutospacing="0" w:after="0" w:afterAutospacing="0"/>
                    <w:ind w:right="253"/>
                    <w:jc w:val="both"/>
                    <w:rPr>
                      <w:rFonts w:ascii="Arial" w:hAnsi="Arial" w:cs="Arial"/>
                      <w:sz w:val="22"/>
                      <w:szCs w:val="22"/>
                    </w:rPr>
                  </w:pPr>
                  <w:r>
                    <w:rPr>
                      <w:rFonts w:ascii="Arial" w:hAnsi="Arial" w:cs="Arial"/>
                      <w:sz w:val="22"/>
                      <w:szCs w:val="22"/>
                    </w:rPr>
                    <w:t xml:space="preserve">Should you have any further queries or experience any technical difficulties in downloading the documents, please contact the Standards Department at +27 (0)87 940-8800 or send an email to </w:t>
                  </w:r>
                  <w:hyperlink r:id="rId8" w:history="1">
                    <w:r>
                      <w:rPr>
                        <w:rStyle w:val="Hyperlink"/>
                        <w:rFonts w:ascii="Arial" w:hAnsi="Arial" w:cs="Arial"/>
                        <w:color w:val="3300CC"/>
                        <w:sz w:val="22"/>
                        <w:szCs w:val="22"/>
                      </w:rPr>
                      <w:t>standards@irba.co.za</w:t>
                    </w:r>
                  </w:hyperlink>
                  <w:r>
                    <w:rPr>
                      <w:rFonts w:ascii="Arial" w:hAnsi="Arial" w:cs="Arial"/>
                      <w:sz w:val="22"/>
                      <w:szCs w:val="22"/>
                    </w:rPr>
                    <w:t>.</w:t>
                  </w:r>
                </w:p>
                <w:p w:rsidR="00B4619D" w:rsidRDefault="00B4619D" w:rsidP="00B4619D">
                  <w:pPr>
                    <w:jc w:val="both"/>
                    <w:textAlignment w:val="top"/>
                    <w:rPr>
                      <w:rFonts w:ascii="Arial" w:hAnsi="Arial" w:cs="Arial"/>
                      <w:b/>
                      <w:sz w:val="22"/>
                      <w:szCs w:val="22"/>
                      <w:lang w:val="en-GB"/>
                    </w:rPr>
                  </w:pPr>
                </w:p>
                <w:p w:rsidR="00B4619D" w:rsidRDefault="00B4619D" w:rsidP="00B4619D">
                  <w:pPr>
                    <w:jc w:val="both"/>
                    <w:textAlignment w:val="top"/>
                    <w:rPr>
                      <w:rFonts w:ascii="Arial" w:hAnsi="Arial" w:cs="Arial"/>
                      <w:b/>
                      <w:sz w:val="22"/>
                      <w:szCs w:val="22"/>
                      <w:lang w:val="en-GB"/>
                    </w:rPr>
                  </w:pPr>
                </w:p>
                <w:p w:rsidR="00B4619D" w:rsidRPr="00394559" w:rsidRDefault="00B4619D" w:rsidP="00B4619D">
                  <w:pPr>
                    <w:jc w:val="both"/>
                    <w:textAlignment w:val="top"/>
                    <w:rPr>
                      <w:rFonts w:ascii="Arial" w:hAnsi="Arial" w:cs="Arial"/>
                      <w:b/>
                      <w:sz w:val="22"/>
                      <w:szCs w:val="22"/>
                      <w:lang w:val="en-ZA"/>
                    </w:rPr>
                  </w:pPr>
                  <w:r>
                    <w:rPr>
                      <w:rFonts w:ascii="Arial" w:hAnsi="Arial" w:cs="Arial"/>
                      <w:b/>
                      <w:sz w:val="22"/>
                      <w:szCs w:val="22"/>
                      <w:lang w:val="en-GB"/>
                    </w:rPr>
                    <w:t>Imran Vanker</w:t>
                  </w:r>
                </w:p>
                <w:p w:rsidR="00B4619D" w:rsidRDefault="00B4619D" w:rsidP="00B4619D">
                  <w:pPr>
                    <w:spacing w:after="120"/>
                    <w:rPr>
                      <w:rFonts w:ascii="Arial" w:hAnsi="Arial" w:cs="Arial"/>
                      <w:b/>
                      <w:sz w:val="22"/>
                      <w:szCs w:val="22"/>
                      <w:lang w:val="en-GB"/>
                    </w:rPr>
                  </w:pPr>
                  <w:r w:rsidRPr="007279B3">
                    <w:rPr>
                      <w:rFonts w:ascii="Arial" w:hAnsi="Arial" w:cs="Arial"/>
                      <w:b/>
                      <w:sz w:val="22"/>
                      <w:szCs w:val="22"/>
                      <w:lang w:val="en-GB"/>
                    </w:rPr>
                    <w:t>Director: Standards</w:t>
                  </w:r>
                </w:p>
                <w:p w:rsidR="00B4619D" w:rsidRPr="00325494" w:rsidRDefault="00B4619D" w:rsidP="00B4619D">
                  <w:pPr>
                    <w:spacing w:after="120"/>
                    <w:rPr>
                      <w:rFonts w:ascii="Arial" w:hAnsi="Arial" w:cs="Arial"/>
                      <w:b/>
                      <w:i/>
                      <w:noProof/>
                      <w:sz w:val="20"/>
                      <w:szCs w:val="20"/>
                      <w:lang w:val="en-GB"/>
                    </w:rPr>
                  </w:pPr>
                  <w:r w:rsidRPr="00325494">
                    <w:rPr>
                      <w:rFonts w:ascii="Arial" w:hAnsi="Arial" w:cs="Arial"/>
                      <w:b/>
                      <w:i/>
                      <w:noProof/>
                      <w:sz w:val="20"/>
                      <w:szCs w:val="20"/>
                      <w:lang w:val="en-GB"/>
                    </w:rPr>
                    <w:t>About the IRBA</w:t>
                  </w:r>
                </w:p>
                <w:p w:rsidR="00B4619D" w:rsidRDefault="00B4619D" w:rsidP="00B4619D">
                  <w:pPr>
                    <w:spacing w:after="120"/>
                    <w:ind w:right="232"/>
                    <w:jc w:val="both"/>
                    <w:rPr>
                      <w:rFonts w:ascii="Arial" w:hAnsi="Arial" w:cs="Arial"/>
                      <w:i/>
                      <w:noProof/>
                      <w:sz w:val="18"/>
                      <w:szCs w:val="18"/>
                      <w:lang w:val="en-GB"/>
                    </w:rPr>
                  </w:pPr>
                  <w:r w:rsidRPr="00AA450F">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Pr>
                      <w:rFonts w:ascii="Arial" w:hAnsi="Arial" w:cs="Arial"/>
                      <w:i/>
                      <w:noProof/>
                      <w:sz w:val="18"/>
                      <w:szCs w:val="18"/>
                      <w:lang w:val="en-GB"/>
                    </w:rPr>
                    <w:t xml:space="preserve">. </w:t>
                  </w:r>
                </w:p>
                <w:p w:rsidR="00B4619D" w:rsidRPr="00734BE1" w:rsidRDefault="00B4619D" w:rsidP="00B4619D">
                  <w:pPr>
                    <w:spacing w:after="120"/>
                    <w:ind w:right="232"/>
                    <w:jc w:val="both"/>
                    <w:rPr>
                      <w:rFonts w:ascii="Arial" w:hAnsi="Arial" w:cs="Arial"/>
                      <w:i/>
                      <w:noProof/>
                      <w:sz w:val="18"/>
                      <w:szCs w:val="18"/>
                      <w:lang w:val="en-GB"/>
                    </w:rPr>
                  </w:pPr>
                  <w:r w:rsidRPr="00186B29">
                    <w:rPr>
                      <w:rFonts w:ascii="Arial" w:hAnsi="Arial" w:cs="Arial"/>
                      <w:bCs/>
                      <w:i/>
                      <w:iCs/>
                      <w:sz w:val="18"/>
                      <w:szCs w:val="18"/>
                      <w:lang w:val="en-GB"/>
                    </w:rPr>
                    <w:t>The statutory responsibility of the CFAE is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rsidR="00B4619D" w:rsidRDefault="00B4619D" w:rsidP="00B4619D">
                  <w:pPr>
                    <w:spacing w:before="120" w:after="120"/>
                    <w:jc w:val="both"/>
                    <w:rPr>
                      <w:rFonts w:ascii="Arial" w:hAnsi="Arial" w:cs="Arial"/>
                      <w:sz w:val="22"/>
                      <w:szCs w:val="22"/>
                      <w:lang w:val="en-GB"/>
                    </w:rPr>
                  </w:pPr>
                </w:p>
                <w:p w:rsidR="00B4619D" w:rsidRDefault="00B4619D" w:rsidP="00B4619D">
                  <w:pPr>
                    <w:spacing w:before="120" w:after="120"/>
                    <w:jc w:val="center"/>
                    <w:rPr>
                      <w:rFonts w:ascii="Arial" w:hAnsi="Arial" w:cs="Arial"/>
                      <w:sz w:val="22"/>
                      <w:szCs w:val="22"/>
                      <w:lang w:val="en-GB"/>
                    </w:rPr>
                  </w:pPr>
                </w:p>
              </w:tc>
            </w:tr>
          </w:tbl>
          <w:p w:rsidR="000860B3" w:rsidRDefault="000860B3" w:rsidP="00C54FEE">
            <w:pPr>
              <w:spacing w:before="120" w:after="120"/>
              <w:jc w:val="center"/>
              <w:rPr>
                <w:rFonts w:ascii="Arial" w:hAnsi="Arial" w:cs="Arial"/>
                <w:sz w:val="22"/>
                <w:szCs w:val="22"/>
                <w:lang w:val="en-GB"/>
              </w:rPr>
            </w:pPr>
          </w:p>
          <w:p w:rsidR="000860B3" w:rsidRDefault="000860B3" w:rsidP="00C54FEE">
            <w:pPr>
              <w:spacing w:before="120" w:after="120"/>
              <w:jc w:val="center"/>
              <w:rPr>
                <w:rFonts w:ascii="Arial" w:hAnsi="Arial" w:cs="Arial"/>
                <w:sz w:val="22"/>
                <w:szCs w:val="22"/>
                <w:lang w:val="en-GB"/>
              </w:rPr>
            </w:pPr>
          </w:p>
          <w:p w:rsidR="00591298" w:rsidRDefault="00591298" w:rsidP="00591298">
            <w:pPr>
              <w:ind w:right="235"/>
              <w:jc w:val="both"/>
              <w:rPr>
                <w:rFonts w:ascii="Arial" w:hAnsi="Arial" w:cs="Arial"/>
                <w:sz w:val="22"/>
                <w:szCs w:val="22"/>
                <w:lang w:val="en-GB"/>
              </w:rPr>
            </w:pPr>
          </w:p>
          <w:p w:rsidR="00490511" w:rsidRDefault="00490511" w:rsidP="00490511">
            <w:pPr>
              <w:keepNext/>
              <w:keepLines/>
              <w:ind w:left="113" w:right="395"/>
              <w:jc w:val="both"/>
              <w:rPr>
                <w:rFonts w:ascii="Arial" w:hAnsi="Arial" w:cs="Arial"/>
                <w:sz w:val="22"/>
                <w:szCs w:val="22"/>
              </w:rPr>
            </w:pPr>
          </w:p>
          <w:p w:rsidR="00490511" w:rsidRDefault="00490511" w:rsidP="00490511">
            <w:pPr>
              <w:autoSpaceDE w:val="0"/>
              <w:autoSpaceDN w:val="0"/>
              <w:adjustRightInd w:val="0"/>
              <w:ind w:right="537"/>
              <w:jc w:val="both"/>
              <w:rPr>
                <w:rFonts w:ascii="Arial" w:hAnsi="Arial" w:cs="Arial"/>
                <w:color w:val="000000"/>
                <w:sz w:val="22"/>
                <w:szCs w:val="22"/>
                <w:lang w:val="en-ZA" w:eastAsia="en-ZA"/>
              </w:rPr>
            </w:pPr>
          </w:p>
          <w:p w:rsidR="00490511" w:rsidRDefault="00490511" w:rsidP="00490511">
            <w:pPr>
              <w:autoSpaceDE w:val="0"/>
              <w:autoSpaceDN w:val="0"/>
              <w:adjustRightInd w:val="0"/>
              <w:jc w:val="both"/>
              <w:rPr>
                <w:rFonts w:ascii="Arial" w:hAnsi="Arial" w:cs="Arial"/>
                <w:sz w:val="22"/>
                <w:szCs w:val="22"/>
              </w:rPr>
            </w:pPr>
          </w:p>
          <w:p w:rsidR="00490511" w:rsidRPr="007279B3" w:rsidRDefault="00490511" w:rsidP="00490511">
            <w:pPr>
              <w:pStyle w:val="NormalWeb"/>
              <w:spacing w:before="0" w:beforeAutospacing="0" w:after="0" w:afterAutospacing="0"/>
              <w:ind w:right="253"/>
              <w:jc w:val="both"/>
              <w:rPr>
                <w:rFonts w:ascii="Arial" w:hAnsi="Arial" w:cs="Arial"/>
                <w:sz w:val="22"/>
                <w:szCs w:val="22"/>
                <w:lang w:val="en-GB"/>
              </w:rPr>
            </w:pPr>
          </w:p>
        </w:tc>
      </w:tr>
    </w:tbl>
    <w:p w:rsidR="003947F4" w:rsidRPr="00501D83" w:rsidRDefault="003947F4" w:rsidP="003B7B30">
      <w:pPr>
        <w:jc w:val="both"/>
        <w:rPr>
          <w:rFonts w:ascii="Arial" w:hAnsi="Arial" w:cs="Arial"/>
          <w:bCs/>
          <w:i/>
          <w:iCs/>
          <w:sz w:val="18"/>
          <w:szCs w:val="18"/>
          <w:lang w:val="en-GB"/>
        </w:rPr>
      </w:pPr>
    </w:p>
    <w:sectPr w:rsidR="003947F4" w:rsidRPr="00501D83"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2C" w:rsidRDefault="0047042C">
      <w:r>
        <w:separator/>
      </w:r>
    </w:p>
  </w:endnote>
  <w:endnote w:type="continuationSeparator" w:id="0">
    <w:p w:rsidR="0047042C" w:rsidRDefault="0047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2C" w:rsidRDefault="0047042C">
      <w:r>
        <w:separator/>
      </w:r>
    </w:p>
  </w:footnote>
  <w:footnote w:type="continuationSeparator" w:id="0">
    <w:p w:rsidR="0047042C" w:rsidRDefault="00470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160A40F4"/>
    <w:multiLevelType w:val="multilevel"/>
    <w:tmpl w:val="306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8"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4"/>
  </w:num>
  <w:num w:numId="5">
    <w:abstractNumId w:val="5"/>
  </w:num>
  <w:num w:numId="6">
    <w:abstractNumId w:val="13"/>
  </w:num>
  <w:num w:numId="7">
    <w:abstractNumId w:val="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2"/>
  </w:num>
  <w:num w:numId="12">
    <w:abstractNumId w:val="7"/>
  </w:num>
  <w:num w:numId="13">
    <w:abstractNumId w:val="15"/>
  </w:num>
  <w:num w:numId="14">
    <w:abstractNumId w:val="9"/>
  </w:num>
  <w:num w:numId="15">
    <w:abstractNumId w:val="16"/>
  </w:num>
  <w:num w:numId="16">
    <w:abstractNumId w:val="14"/>
  </w:num>
  <w:num w:numId="17">
    <w:abstractNumId w:val="6"/>
  </w:num>
  <w:num w:numId="18">
    <w:abstractNumId w:val="8"/>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03D96"/>
    <w:rsid w:val="00010C67"/>
    <w:rsid w:val="000136EF"/>
    <w:rsid w:val="00032EC5"/>
    <w:rsid w:val="00040123"/>
    <w:rsid w:val="00044382"/>
    <w:rsid w:val="000450CD"/>
    <w:rsid w:val="0005147F"/>
    <w:rsid w:val="00064EB5"/>
    <w:rsid w:val="0006670E"/>
    <w:rsid w:val="00082A82"/>
    <w:rsid w:val="000860B3"/>
    <w:rsid w:val="000878CF"/>
    <w:rsid w:val="00092D8D"/>
    <w:rsid w:val="00097D2D"/>
    <w:rsid w:val="000A09BD"/>
    <w:rsid w:val="000B3AC9"/>
    <w:rsid w:val="000B4148"/>
    <w:rsid w:val="000B4EE8"/>
    <w:rsid w:val="000B52F6"/>
    <w:rsid w:val="000C6DE2"/>
    <w:rsid w:val="000E3393"/>
    <w:rsid w:val="000E650C"/>
    <w:rsid w:val="000E6557"/>
    <w:rsid w:val="00101136"/>
    <w:rsid w:val="00113BFF"/>
    <w:rsid w:val="00114451"/>
    <w:rsid w:val="00116085"/>
    <w:rsid w:val="00122722"/>
    <w:rsid w:val="00126186"/>
    <w:rsid w:val="00134F54"/>
    <w:rsid w:val="00137A03"/>
    <w:rsid w:val="00140754"/>
    <w:rsid w:val="001540D8"/>
    <w:rsid w:val="001552E2"/>
    <w:rsid w:val="0017104C"/>
    <w:rsid w:val="0017487B"/>
    <w:rsid w:val="0018695A"/>
    <w:rsid w:val="001A7934"/>
    <w:rsid w:val="001C25A5"/>
    <w:rsid w:val="001C4B9C"/>
    <w:rsid w:val="001C523A"/>
    <w:rsid w:val="001D09E4"/>
    <w:rsid w:val="001F4B6D"/>
    <w:rsid w:val="00200976"/>
    <w:rsid w:val="002012B2"/>
    <w:rsid w:val="0020189B"/>
    <w:rsid w:val="00203D03"/>
    <w:rsid w:val="002109B1"/>
    <w:rsid w:val="00214ACB"/>
    <w:rsid w:val="00216C17"/>
    <w:rsid w:val="00216F8A"/>
    <w:rsid w:val="00227905"/>
    <w:rsid w:val="00232478"/>
    <w:rsid w:val="0024081E"/>
    <w:rsid w:val="00245BF9"/>
    <w:rsid w:val="002844DA"/>
    <w:rsid w:val="00295291"/>
    <w:rsid w:val="002A60B6"/>
    <w:rsid w:val="002A74E0"/>
    <w:rsid w:val="002B73E0"/>
    <w:rsid w:val="002C45B6"/>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55BD0"/>
    <w:rsid w:val="00356960"/>
    <w:rsid w:val="0037190D"/>
    <w:rsid w:val="00372124"/>
    <w:rsid w:val="00376C05"/>
    <w:rsid w:val="0039194F"/>
    <w:rsid w:val="00394559"/>
    <w:rsid w:val="003947F4"/>
    <w:rsid w:val="003A01AD"/>
    <w:rsid w:val="003A1121"/>
    <w:rsid w:val="003A201F"/>
    <w:rsid w:val="003B657F"/>
    <w:rsid w:val="003B67FC"/>
    <w:rsid w:val="003B7B30"/>
    <w:rsid w:val="003D32C8"/>
    <w:rsid w:val="003D3CF2"/>
    <w:rsid w:val="003D48AA"/>
    <w:rsid w:val="003E23B2"/>
    <w:rsid w:val="003E2B95"/>
    <w:rsid w:val="003E66B0"/>
    <w:rsid w:val="003F6A77"/>
    <w:rsid w:val="00400C1E"/>
    <w:rsid w:val="0040189D"/>
    <w:rsid w:val="004170DD"/>
    <w:rsid w:val="004228B0"/>
    <w:rsid w:val="00430ADA"/>
    <w:rsid w:val="00431DBA"/>
    <w:rsid w:val="00435B84"/>
    <w:rsid w:val="004412BB"/>
    <w:rsid w:val="00443351"/>
    <w:rsid w:val="00445301"/>
    <w:rsid w:val="00465756"/>
    <w:rsid w:val="0047042C"/>
    <w:rsid w:val="00476E88"/>
    <w:rsid w:val="00481202"/>
    <w:rsid w:val="0048394C"/>
    <w:rsid w:val="00485F72"/>
    <w:rsid w:val="00490511"/>
    <w:rsid w:val="0049789D"/>
    <w:rsid w:val="004A08F3"/>
    <w:rsid w:val="004A29F3"/>
    <w:rsid w:val="004B0A62"/>
    <w:rsid w:val="004B190D"/>
    <w:rsid w:val="004C62D9"/>
    <w:rsid w:val="004D11BE"/>
    <w:rsid w:val="004D4668"/>
    <w:rsid w:val="004D5AED"/>
    <w:rsid w:val="004E5DAD"/>
    <w:rsid w:val="004E7CED"/>
    <w:rsid w:val="004F1712"/>
    <w:rsid w:val="004F63B7"/>
    <w:rsid w:val="00501D83"/>
    <w:rsid w:val="005020C7"/>
    <w:rsid w:val="00502FE5"/>
    <w:rsid w:val="005105C4"/>
    <w:rsid w:val="00520C08"/>
    <w:rsid w:val="005230B0"/>
    <w:rsid w:val="00525D32"/>
    <w:rsid w:val="005276D8"/>
    <w:rsid w:val="00530BE5"/>
    <w:rsid w:val="00542AF5"/>
    <w:rsid w:val="00546E1C"/>
    <w:rsid w:val="00553819"/>
    <w:rsid w:val="00562ACE"/>
    <w:rsid w:val="0057353C"/>
    <w:rsid w:val="005811FF"/>
    <w:rsid w:val="00591298"/>
    <w:rsid w:val="0059783A"/>
    <w:rsid w:val="005B4925"/>
    <w:rsid w:val="005C5483"/>
    <w:rsid w:val="005D3E51"/>
    <w:rsid w:val="005D7CC4"/>
    <w:rsid w:val="005F16E7"/>
    <w:rsid w:val="0060435D"/>
    <w:rsid w:val="00620907"/>
    <w:rsid w:val="00626C7F"/>
    <w:rsid w:val="00637821"/>
    <w:rsid w:val="006448AD"/>
    <w:rsid w:val="00652E9F"/>
    <w:rsid w:val="00654E42"/>
    <w:rsid w:val="00657150"/>
    <w:rsid w:val="00657AC1"/>
    <w:rsid w:val="00665BA3"/>
    <w:rsid w:val="00667C74"/>
    <w:rsid w:val="006817C0"/>
    <w:rsid w:val="0068669D"/>
    <w:rsid w:val="006964CA"/>
    <w:rsid w:val="006A71D7"/>
    <w:rsid w:val="006B6619"/>
    <w:rsid w:val="006B7A0B"/>
    <w:rsid w:val="006C3680"/>
    <w:rsid w:val="006C4CD0"/>
    <w:rsid w:val="006E3E2B"/>
    <w:rsid w:val="006F44C4"/>
    <w:rsid w:val="0070324F"/>
    <w:rsid w:val="00706D7E"/>
    <w:rsid w:val="00711F93"/>
    <w:rsid w:val="00715EC2"/>
    <w:rsid w:val="0071605F"/>
    <w:rsid w:val="00720CBE"/>
    <w:rsid w:val="00725952"/>
    <w:rsid w:val="007279B3"/>
    <w:rsid w:val="007338EB"/>
    <w:rsid w:val="00734BE1"/>
    <w:rsid w:val="00736DEE"/>
    <w:rsid w:val="007410C7"/>
    <w:rsid w:val="0074494B"/>
    <w:rsid w:val="007450F7"/>
    <w:rsid w:val="00754EAC"/>
    <w:rsid w:val="007615A9"/>
    <w:rsid w:val="00762565"/>
    <w:rsid w:val="00766238"/>
    <w:rsid w:val="007665E9"/>
    <w:rsid w:val="007709AC"/>
    <w:rsid w:val="00771AA5"/>
    <w:rsid w:val="00776C30"/>
    <w:rsid w:val="0078740D"/>
    <w:rsid w:val="007B381D"/>
    <w:rsid w:val="007C13D2"/>
    <w:rsid w:val="007C1625"/>
    <w:rsid w:val="007D1B2D"/>
    <w:rsid w:val="007D5559"/>
    <w:rsid w:val="007E2CDE"/>
    <w:rsid w:val="00803A0E"/>
    <w:rsid w:val="008044A3"/>
    <w:rsid w:val="00817D8E"/>
    <w:rsid w:val="00823D20"/>
    <w:rsid w:val="00834A2F"/>
    <w:rsid w:val="008437AD"/>
    <w:rsid w:val="00843BF0"/>
    <w:rsid w:val="00847575"/>
    <w:rsid w:val="0086276B"/>
    <w:rsid w:val="00862F7E"/>
    <w:rsid w:val="0086785E"/>
    <w:rsid w:val="00873664"/>
    <w:rsid w:val="0089033B"/>
    <w:rsid w:val="008942A8"/>
    <w:rsid w:val="0089542C"/>
    <w:rsid w:val="008A4538"/>
    <w:rsid w:val="008B4BC2"/>
    <w:rsid w:val="008C0F0D"/>
    <w:rsid w:val="008C24D6"/>
    <w:rsid w:val="008D0691"/>
    <w:rsid w:val="008D7ADA"/>
    <w:rsid w:val="008E09EC"/>
    <w:rsid w:val="008E1FA4"/>
    <w:rsid w:val="008E2763"/>
    <w:rsid w:val="009141DD"/>
    <w:rsid w:val="00922D6E"/>
    <w:rsid w:val="00930E32"/>
    <w:rsid w:val="009352CB"/>
    <w:rsid w:val="0094029D"/>
    <w:rsid w:val="00981863"/>
    <w:rsid w:val="00982179"/>
    <w:rsid w:val="00982D4C"/>
    <w:rsid w:val="009C4F4B"/>
    <w:rsid w:val="009E5345"/>
    <w:rsid w:val="009E7287"/>
    <w:rsid w:val="009E784B"/>
    <w:rsid w:val="00A10918"/>
    <w:rsid w:val="00A2377E"/>
    <w:rsid w:val="00A25906"/>
    <w:rsid w:val="00A30594"/>
    <w:rsid w:val="00A320E2"/>
    <w:rsid w:val="00A338B0"/>
    <w:rsid w:val="00A53E61"/>
    <w:rsid w:val="00A719B1"/>
    <w:rsid w:val="00AA450F"/>
    <w:rsid w:val="00AA5116"/>
    <w:rsid w:val="00AA715B"/>
    <w:rsid w:val="00AB3664"/>
    <w:rsid w:val="00AB779F"/>
    <w:rsid w:val="00AC0C4E"/>
    <w:rsid w:val="00AC62A0"/>
    <w:rsid w:val="00AC74DF"/>
    <w:rsid w:val="00AD0FAA"/>
    <w:rsid w:val="00AD7D5A"/>
    <w:rsid w:val="00AF3F0B"/>
    <w:rsid w:val="00AF4C82"/>
    <w:rsid w:val="00B11F48"/>
    <w:rsid w:val="00B12E5A"/>
    <w:rsid w:val="00B16992"/>
    <w:rsid w:val="00B17169"/>
    <w:rsid w:val="00B2199A"/>
    <w:rsid w:val="00B244D5"/>
    <w:rsid w:val="00B3448B"/>
    <w:rsid w:val="00B3696C"/>
    <w:rsid w:val="00B37676"/>
    <w:rsid w:val="00B42F91"/>
    <w:rsid w:val="00B44226"/>
    <w:rsid w:val="00B4619D"/>
    <w:rsid w:val="00B53800"/>
    <w:rsid w:val="00B56DC1"/>
    <w:rsid w:val="00B56E71"/>
    <w:rsid w:val="00B61638"/>
    <w:rsid w:val="00B65630"/>
    <w:rsid w:val="00B659C3"/>
    <w:rsid w:val="00B837E8"/>
    <w:rsid w:val="00B90765"/>
    <w:rsid w:val="00B92E25"/>
    <w:rsid w:val="00BA7706"/>
    <w:rsid w:val="00BC3DCC"/>
    <w:rsid w:val="00BD4E25"/>
    <w:rsid w:val="00BE3A04"/>
    <w:rsid w:val="00BF23CF"/>
    <w:rsid w:val="00C042C2"/>
    <w:rsid w:val="00C06C45"/>
    <w:rsid w:val="00C075A2"/>
    <w:rsid w:val="00C23AA8"/>
    <w:rsid w:val="00C26742"/>
    <w:rsid w:val="00C40FBA"/>
    <w:rsid w:val="00C451BF"/>
    <w:rsid w:val="00C47C6F"/>
    <w:rsid w:val="00C54FEE"/>
    <w:rsid w:val="00C71091"/>
    <w:rsid w:val="00C728DC"/>
    <w:rsid w:val="00C7409F"/>
    <w:rsid w:val="00C81770"/>
    <w:rsid w:val="00C83BDB"/>
    <w:rsid w:val="00CA3A48"/>
    <w:rsid w:val="00CA491C"/>
    <w:rsid w:val="00CB4B32"/>
    <w:rsid w:val="00CB6B61"/>
    <w:rsid w:val="00CC4DBE"/>
    <w:rsid w:val="00CE05FC"/>
    <w:rsid w:val="00CE5699"/>
    <w:rsid w:val="00CF4646"/>
    <w:rsid w:val="00D00FBD"/>
    <w:rsid w:val="00D1346E"/>
    <w:rsid w:val="00D2206D"/>
    <w:rsid w:val="00D248FA"/>
    <w:rsid w:val="00D26D6A"/>
    <w:rsid w:val="00D40F54"/>
    <w:rsid w:val="00D4672E"/>
    <w:rsid w:val="00D47988"/>
    <w:rsid w:val="00D56247"/>
    <w:rsid w:val="00D65986"/>
    <w:rsid w:val="00D668E5"/>
    <w:rsid w:val="00D7008D"/>
    <w:rsid w:val="00D73CAA"/>
    <w:rsid w:val="00D753EF"/>
    <w:rsid w:val="00D768AE"/>
    <w:rsid w:val="00D87912"/>
    <w:rsid w:val="00D9298B"/>
    <w:rsid w:val="00DA5AED"/>
    <w:rsid w:val="00DC0067"/>
    <w:rsid w:val="00DC113B"/>
    <w:rsid w:val="00DC2ED2"/>
    <w:rsid w:val="00DC5C0F"/>
    <w:rsid w:val="00DD1120"/>
    <w:rsid w:val="00DE6BF7"/>
    <w:rsid w:val="00DF707A"/>
    <w:rsid w:val="00E01488"/>
    <w:rsid w:val="00E02E39"/>
    <w:rsid w:val="00E07370"/>
    <w:rsid w:val="00E13438"/>
    <w:rsid w:val="00E17D9D"/>
    <w:rsid w:val="00E25F57"/>
    <w:rsid w:val="00E31ACF"/>
    <w:rsid w:val="00E55984"/>
    <w:rsid w:val="00E55E2F"/>
    <w:rsid w:val="00E5656B"/>
    <w:rsid w:val="00E57669"/>
    <w:rsid w:val="00E621B7"/>
    <w:rsid w:val="00E705F2"/>
    <w:rsid w:val="00E725B7"/>
    <w:rsid w:val="00E73F81"/>
    <w:rsid w:val="00E76A46"/>
    <w:rsid w:val="00E85336"/>
    <w:rsid w:val="00E860E3"/>
    <w:rsid w:val="00E9626D"/>
    <w:rsid w:val="00EA39E9"/>
    <w:rsid w:val="00EB277F"/>
    <w:rsid w:val="00EB3DD8"/>
    <w:rsid w:val="00EB6057"/>
    <w:rsid w:val="00EC28EB"/>
    <w:rsid w:val="00EC6ACB"/>
    <w:rsid w:val="00EF0CEC"/>
    <w:rsid w:val="00EF234F"/>
    <w:rsid w:val="00EF4769"/>
    <w:rsid w:val="00EF7CAF"/>
    <w:rsid w:val="00F0083E"/>
    <w:rsid w:val="00F06026"/>
    <w:rsid w:val="00F1120B"/>
    <w:rsid w:val="00F22686"/>
    <w:rsid w:val="00F2762C"/>
    <w:rsid w:val="00F344DE"/>
    <w:rsid w:val="00F511BB"/>
    <w:rsid w:val="00F56582"/>
    <w:rsid w:val="00F663CB"/>
    <w:rsid w:val="00F6677D"/>
    <w:rsid w:val="00F72ADB"/>
    <w:rsid w:val="00F87562"/>
    <w:rsid w:val="00F87FF9"/>
    <w:rsid w:val="00F92DF3"/>
    <w:rsid w:val="00FA39F2"/>
    <w:rsid w:val="00FC2D0C"/>
    <w:rsid w:val="00FC4FFC"/>
    <w:rsid w:val="00FD4B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18B0F8-1E71-4BB9-965B-4A687250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uiPriority w:val="99"/>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 w:type="table" w:styleId="TableGrid">
    <w:name w:val="Table Grid"/>
    <w:basedOn w:val="TableNormal"/>
    <w:locked/>
    <w:rsid w:val="00086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1067339949">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guidance-to-ras/technical-guidance-for-auditors/ethics:-the-rules-and-the-code/the-rules-and-the-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3334</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4</cp:revision>
  <cp:lastPrinted>2016-06-22T07:30:00Z</cp:lastPrinted>
  <dcterms:created xsi:type="dcterms:W3CDTF">2016-06-22T07:31:00Z</dcterms:created>
  <dcterms:modified xsi:type="dcterms:W3CDTF">2016-07-08T10:49:00Z</dcterms:modified>
</cp:coreProperties>
</file>