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11" w:type="dxa"/>
        <w:tblCellSpacing w:w="15" w:type="dxa"/>
        <w:tblCellMar>
          <w:top w:w="284" w:type="dxa"/>
          <w:left w:w="0" w:type="dxa"/>
          <w:bottom w:w="284" w:type="dxa"/>
          <w:right w:w="0" w:type="dxa"/>
        </w:tblCellMar>
        <w:tblLook w:val="0000" w:firstRow="0" w:lastRow="0" w:firstColumn="0" w:lastColumn="0" w:noHBand="0" w:noVBand="0"/>
      </w:tblPr>
      <w:tblGrid>
        <w:gridCol w:w="8811"/>
      </w:tblGrid>
      <w:tr w:rsidR="001D09E4" w:rsidRPr="00181019" w:rsidTr="003C3E51">
        <w:trPr>
          <w:trHeight w:val="1747"/>
          <w:tblCellSpacing w:w="15" w:type="dxa"/>
        </w:trPr>
        <w:tc>
          <w:tcPr>
            <w:tcW w:w="8751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36"/>
            </w:tblGrid>
            <w:tr w:rsidR="003C3E51" w:rsidTr="003C3E51">
              <w:tc>
                <w:tcPr>
                  <w:tcW w:w="8736" w:type="dxa"/>
                  <w:tcBorders>
                    <w:left w:val="nil"/>
                    <w:right w:val="nil"/>
                  </w:tcBorders>
                </w:tcPr>
                <w:p w:rsidR="003C3E51" w:rsidRDefault="003C3E51" w:rsidP="003C3E51">
                  <w:pPr>
                    <w:jc w:val="center"/>
                    <w:rPr>
                      <w:rFonts w:ascii="Arial" w:hAnsi="Arial" w:cs="Arial"/>
                      <w:b/>
                      <w:bCs/>
                      <w:color w:val="CC0000"/>
                      <w:sz w:val="22"/>
                      <w:szCs w:val="22"/>
                      <w:lang w:val="en-GB"/>
                    </w:rPr>
                  </w:pPr>
                </w:p>
                <w:p w:rsidR="003C3E51" w:rsidRDefault="003C3E51" w:rsidP="003C3E51">
                  <w:pPr>
                    <w:jc w:val="center"/>
                    <w:rPr>
                      <w:rFonts w:ascii="Arial" w:hAnsi="Arial" w:cs="Arial"/>
                      <w:b/>
                      <w:bCs/>
                      <w:color w:val="CC0000"/>
                      <w:sz w:val="22"/>
                      <w:szCs w:val="22"/>
                      <w:lang w:val="en-GB"/>
                    </w:rPr>
                  </w:pPr>
                  <w:r w:rsidRPr="0064505F">
                    <w:rPr>
                      <w:rFonts w:ascii="Arial" w:hAnsi="Arial" w:cs="Arial"/>
                      <w:b/>
                      <w:bCs/>
                      <w:color w:val="CC0000"/>
                      <w:sz w:val="22"/>
                      <w:szCs w:val="22"/>
                      <w:lang w:val="en-GB"/>
                    </w:rPr>
                    <w:t>INDEPENDENT REGULATORY BOARD FOR AUDITORS</w:t>
                  </w:r>
                </w:p>
                <w:p w:rsidR="003C3E51" w:rsidRDefault="003C3E51" w:rsidP="003C3E5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C3E51" w:rsidRDefault="003C3E51" w:rsidP="003C3E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3E51" w:rsidRPr="0064505F" w:rsidRDefault="003C3E51" w:rsidP="003C3E5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C3E51" w:rsidRDefault="003C3E51" w:rsidP="003C3E51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>South African Auditing Practice Statement (SAAPS) 6</w:t>
            </w:r>
          </w:p>
          <w:p w:rsidR="003C3E51" w:rsidRDefault="003C3E51" w:rsidP="003C3E51">
            <w:pPr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</w:pPr>
            <w:r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ZA" w:eastAsia="en-ZA"/>
              </w:rPr>
              <w:t xml:space="preserve">External Confirmations from Financial Institutions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>issued</w:t>
            </w:r>
          </w:p>
          <w:p w:rsidR="00C54FEE" w:rsidRPr="0064505F" w:rsidRDefault="00C54FEE" w:rsidP="003C3E51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4505F">
              <w:rPr>
                <w:rFonts w:ascii="Arial" w:hAnsi="Arial" w:cs="Arial"/>
                <w:sz w:val="22"/>
                <w:szCs w:val="22"/>
                <w:lang w:val="en-GB"/>
              </w:rPr>
              <w:t xml:space="preserve">Johannesburg / </w:t>
            </w:r>
            <w:r w:rsidR="003C3E51">
              <w:rPr>
                <w:rFonts w:ascii="Arial" w:hAnsi="Arial" w:cs="Arial"/>
                <w:sz w:val="22"/>
                <w:szCs w:val="22"/>
                <w:lang w:val="en-GB"/>
              </w:rPr>
              <w:t xml:space="preserve">08 August </w:t>
            </w:r>
            <w:r w:rsidR="00181019" w:rsidRPr="0064505F">
              <w:rPr>
                <w:rFonts w:ascii="Arial" w:hAnsi="Arial" w:cs="Arial"/>
                <w:sz w:val="22"/>
                <w:szCs w:val="22"/>
                <w:lang w:val="en-GB"/>
              </w:rPr>
              <w:t>201</w:t>
            </w:r>
            <w:r w:rsidR="00123582" w:rsidRPr="0064505F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</w:p>
          <w:p w:rsidR="00C54FEE" w:rsidRPr="0064505F" w:rsidRDefault="00C54FEE" w:rsidP="0064505F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The Board of the Independent Regulatory Board for Auditors (the IRBA) approved the SAAPS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6 </w:t>
            </w:r>
            <w:r>
              <w:rPr>
                <w:rFonts w:ascii="Helvetica-Oblique" w:hAnsi="Helvetica-Oblique" w:cs="Helvetica-Oblique"/>
                <w:i/>
                <w:iCs/>
                <w:sz w:val="21"/>
                <w:szCs w:val="21"/>
                <w:lang w:val="en-ZA" w:eastAsia="en-ZA"/>
              </w:rPr>
              <w:t>External Confirmations from F</w:t>
            </w:r>
            <w:bookmarkStart w:id="0" w:name="_GoBack"/>
            <w:bookmarkEnd w:id="0"/>
            <w:r>
              <w:rPr>
                <w:rFonts w:ascii="Helvetica-Oblique" w:hAnsi="Helvetica-Oblique" w:cs="Helvetica-Oblique"/>
                <w:i/>
                <w:iCs/>
                <w:sz w:val="21"/>
                <w:szCs w:val="21"/>
                <w:lang w:val="en-ZA" w:eastAsia="en-ZA"/>
              </w:rPr>
              <w:t xml:space="preserve">inancial Institutions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(SAAPS 6), developed by the Committee</w:t>
            </w:r>
            <w:r w:rsidR="00C85EF5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for Auditing Standards (CFAS), for issue and use by registered auditors in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>July 2013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.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SAAPS 6 provides implementation guidance to a registered auditor when requesting external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confirmations to obtain audit evidence, either manually or electronically, from financial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institutions, to meet the requirements of the International Standard on Auditing (ISA) 505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-Oblique" w:hAnsi="Helvetica-Oblique" w:cs="Helvetica-Oblique"/>
                <w:i/>
                <w:iCs/>
                <w:sz w:val="21"/>
                <w:szCs w:val="21"/>
                <w:lang w:val="en-ZA" w:eastAsia="en-ZA"/>
              </w:rPr>
              <w:t>External Confirmations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. Implementation of SAAPS 6 is not a substitute for applying all</w:t>
            </w:r>
            <w:r w:rsidR="00C85EF5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relevant ISAs.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ZA" w:eastAsia="en-ZA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 xml:space="preserve">Withdrawal of SAAPS 1100 </w:t>
            </w:r>
            <w:r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ZA" w:eastAsia="en-ZA"/>
              </w:rPr>
              <w:t>Bank Confirmations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SAAPS 6 replaces the extant SAAPS 1100 </w:t>
            </w:r>
            <w:r>
              <w:rPr>
                <w:rFonts w:ascii="Helvetica-Oblique" w:hAnsi="Helvetica-Oblique" w:cs="Helvetica-Oblique"/>
                <w:i/>
                <w:iCs/>
                <w:sz w:val="21"/>
                <w:szCs w:val="21"/>
                <w:lang w:val="en-ZA" w:eastAsia="en-ZA"/>
              </w:rPr>
              <w:t xml:space="preserve">Bank Confirmations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issued in December 2000 that</w:t>
            </w:r>
            <w:r w:rsidR="00C85EF5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will be withdrawn from the effective date of SAAPS 6, namely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>1 October 2013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.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>Implications for practice in South Africa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The SAAPS is no longer restricted to external bank confirmations, traditionally obtained by</w:t>
            </w:r>
            <w:r w:rsidR="00C85EF5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auditors, but recognises the rapid advances in the nature and extent of financial instruments</w:t>
            </w:r>
            <w:r w:rsidR="00C85EF5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that entities enter into, with a wide variety of financial institutions, for which an auditor may</w:t>
            </w:r>
            <w:r w:rsidR="00C85EF5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seek external confirmation.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SAAPS 6 also addresses the introduction of electronic external confirmation requests in South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Africa, which is expected to: significantly reduce the time required to obtain external</w:t>
            </w:r>
            <w:r w:rsidR="00C85EF5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confirmations from financial institutions, enhance the security and tracking processes, reduce</w:t>
            </w:r>
            <w:r w:rsidR="00C85EF5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the risk of incorrect and incomplete confirmations and result in cost savings to clients.</w:t>
            </w: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</w:p>
          <w:p w:rsidR="003C3E51" w:rsidRDefault="003C3E51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SAAPS 6 thus includes implementation guidance for the following:</w:t>
            </w:r>
          </w:p>
          <w:p w:rsidR="003C3E51" w:rsidRPr="003C3E51" w:rsidRDefault="003C3E51" w:rsidP="00C85E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Provides examples in </w:t>
            </w:r>
            <w:r w:rsidRPr="003C3E51"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 xml:space="preserve">Appendix A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of possible alternative procedures that an auditor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might perform to obtain evidence regarding completeness of financial instruments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disclosed in audited financial statements. The alternative procedures address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circumstances when external confirmations from Financial Institutions include a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disclaimer on the completeness of balances and information.</w:t>
            </w:r>
          </w:p>
          <w:p w:rsidR="003C3E51" w:rsidRPr="003C3E51" w:rsidRDefault="003C3E51" w:rsidP="00C85E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1"/>
                <w:szCs w:val="21"/>
                <w:lang w:val="en-ZA" w:eastAsia="en-ZA"/>
              </w:rPr>
            </w:pP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Provides practical assistance to an auditor when obtaining external confirmation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certificates either manually or electronically from any financial institution in South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Africa and includes guidance for auditors on the use of electronic confirmation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requests.</w:t>
            </w:r>
          </w:p>
          <w:p w:rsidR="0064505F" w:rsidRPr="003C3E51" w:rsidRDefault="003C3E51" w:rsidP="00C85EF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Contains completely revised </w:t>
            </w:r>
            <w:r w:rsidRPr="003C3E51">
              <w:rPr>
                <w:rFonts w:ascii="Helvetica-Oblique" w:hAnsi="Helvetica-Oblique" w:cs="Helvetica-Oblique"/>
                <w:i/>
                <w:iCs/>
                <w:sz w:val="21"/>
                <w:szCs w:val="21"/>
                <w:lang w:val="en-ZA" w:eastAsia="en-ZA"/>
              </w:rPr>
              <w:t xml:space="preserve">Confirmation Request Forms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in </w:t>
            </w:r>
            <w:r w:rsidRPr="003C3E51"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 xml:space="preserve">Appendix B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that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accommodate both manual and electronic confirmation requests. In addition, the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confirmation requests now consist of </w:t>
            </w:r>
            <w:r w:rsidRPr="003C3E51">
              <w:rPr>
                <w:rFonts w:ascii="Helvetica-Bold" w:hAnsi="Helvetica-Bold" w:cs="Helvetica-Bold"/>
                <w:b/>
                <w:bCs/>
                <w:sz w:val="21"/>
                <w:szCs w:val="21"/>
                <w:lang w:val="en-ZA" w:eastAsia="en-ZA"/>
              </w:rPr>
              <w:t xml:space="preserve">nine different types of forms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tailored to the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variety of financial instruments for which confirmations may be sought from financial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institutions and enable an auditor to select and request confirmation for only those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 xml:space="preserve"> </w:t>
            </w:r>
            <w:r w:rsidRPr="003C3E51">
              <w:rPr>
                <w:rFonts w:ascii="Helvetica" w:hAnsi="Helvetica" w:cs="Helvetica"/>
                <w:sz w:val="21"/>
                <w:szCs w:val="21"/>
                <w:lang w:val="en-ZA" w:eastAsia="en-ZA"/>
              </w:rPr>
              <w:t>financial instruments and balances relevant to the client.</w:t>
            </w:r>
          </w:p>
          <w:p w:rsidR="003C3E51" w:rsidRDefault="003C3E51" w:rsidP="00C85EF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  <w:lastRenderedPageBreak/>
              <w:t>Effective date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 xml:space="preserve">Due to the implications for auditors of the new format of </w:t>
            </w:r>
            <w:r>
              <w:rPr>
                <w:rFonts w:ascii="Helvetica-BoldOblique" w:hAnsi="Helvetica-BoldOblique" w:cs="Helvetica-BoldOblique"/>
                <w:b/>
                <w:bCs/>
                <w:i/>
                <w:iCs/>
                <w:color w:val="000000"/>
                <w:sz w:val="21"/>
                <w:szCs w:val="21"/>
                <w:lang w:val="en-ZA" w:eastAsia="en-ZA"/>
              </w:rPr>
              <w:t xml:space="preserve">Confirmation Request Forms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>and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 xml:space="preserve">introduction of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  <w:t>electronic external confirmations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>, to allow sufficient time for auditors to</w:t>
            </w:r>
            <w:r w:rsidR="00F85C68"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 xml:space="preserve">address the changes within their firms,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  <w:t>SAAPS 6 is effective for all external confirmation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  <w:t xml:space="preserve">requests issued on or after </w:t>
            </w:r>
            <w:r>
              <w:rPr>
                <w:rFonts w:ascii="Helvetica-Bold" w:hAnsi="Helvetica-Bold" w:cs="Helvetica-Bold"/>
                <w:b/>
                <w:bCs/>
                <w:color w:val="FF0000"/>
                <w:sz w:val="21"/>
                <w:szCs w:val="21"/>
                <w:lang w:val="en-ZA" w:eastAsia="en-ZA"/>
              </w:rPr>
              <w:t>1 October 2013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 xml:space="preserve">.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  <w:t>Early adoption is permitted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>.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</w:pP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>The SAAPS is available in both PDF and Word formats and may be downloaded from the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 xml:space="preserve">IRBA </w:t>
            </w:r>
            <w:hyperlink r:id="rId8" w:history="1">
              <w:r w:rsidRPr="00C85EF5">
                <w:rPr>
                  <w:rStyle w:val="Hyperlink"/>
                  <w:rFonts w:ascii="Helvetica" w:hAnsi="Helvetica" w:cs="Helvetica"/>
                  <w:sz w:val="21"/>
                  <w:szCs w:val="21"/>
                  <w:lang w:val="en-ZA" w:eastAsia="en-ZA"/>
                </w:rPr>
                <w:t>we</w:t>
              </w:r>
              <w:r w:rsidRPr="00C85EF5">
                <w:rPr>
                  <w:rStyle w:val="Hyperlink"/>
                  <w:rFonts w:ascii="Helvetica" w:hAnsi="Helvetica" w:cs="Helvetica"/>
                  <w:sz w:val="21"/>
                  <w:szCs w:val="21"/>
                  <w:lang w:val="en-ZA" w:eastAsia="en-ZA"/>
                </w:rPr>
                <w:t>b</w:t>
              </w:r>
              <w:r w:rsidRPr="00C85EF5">
                <w:rPr>
                  <w:rStyle w:val="Hyperlink"/>
                  <w:rFonts w:ascii="Helvetica" w:hAnsi="Helvetica" w:cs="Helvetica"/>
                  <w:sz w:val="21"/>
                  <w:szCs w:val="21"/>
                  <w:lang w:val="en-ZA" w:eastAsia="en-ZA"/>
                </w:rPr>
                <w:t>site</w:t>
              </w:r>
            </w:hyperlink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>. Should you have any further queries or experience any technical difficulties in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>downloading the documents please do not hesitate to contact the Standards Department at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 xml:space="preserve">+27 (0)87 940 8800 or send an email to </w:t>
            </w:r>
            <w:hyperlink r:id="rId9" w:history="1">
              <w:r w:rsidRPr="00C93C81">
                <w:rPr>
                  <w:rStyle w:val="Hyperlink"/>
                  <w:rFonts w:ascii="Helvetica" w:hAnsi="Helvetica" w:cs="Helvetica"/>
                  <w:sz w:val="21"/>
                  <w:szCs w:val="21"/>
                  <w:lang w:val="en-ZA" w:eastAsia="en-ZA"/>
                </w:rPr>
                <w:t>standards@irba.co.za</w:t>
              </w:r>
            </w:hyperlink>
            <w:r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  <w:t>.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</w:pP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color w:val="000000"/>
                <w:sz w:val="21"/>
                <w:szCs w:val="21"/>
                <w:lang w:val="en-ZA" w:eastAsia="en-ZA"/>
              </w:rPr>
            </w:pP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  <w:t>Sandy van Esch</w:t>
            </w:r>
          </w:p>
          <w:p w:rsidR="003C3E51" w:rsidRPr="0064505F" w:rsidRDefault="00C85EF5" w:rsidP="00C85EF5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21"/>
                <w:szCs w:val="21"/>
                <w:lang w:val="en-ZA" w:eastAsia="en-ZA"/>
              </w:rPr>
              <w:t>Director: Standards</w:t>
            </w:r>
          </w:p>
          <w:p w:rsidR="002B73E0" w:rsidRPr="0064505F" w:rsidRDefault="002B73E0" w:rsidP="00C85EF5">
            <w:pPr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:rsidR="001D09E4" w:rsidRPr="0064505F" w:rsidRDefault="001D09E4" w:rsidP="00C85EF5">
            <w:pPr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64505F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About the IRBA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</w:pPr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  <w:t>The objective of the IRBA is to endeavour to protect the financial interests of the South African public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</w:pPr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  <w:t>and international investors in South Africa through the effective and appropriate regulation of audits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</w:pPr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  <w:t>conducted by registered auditors, in accordance with internationally recognised standards and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</w:pPr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  <w:t>processes.</w:t>
            </w:r>
          </w:p>
          <w:p w:rsidR="00C85EF5" w:rsidRDefault="00C85EF5" w:rsidP="00C85EF5">
            <w:pPr>
              <w:autoSpaceDE w:val="0"/>
              <w:autoSpaceDN w:val="0"/>
              <w:adjustRightInd w:val="0"/>
              <w:jc w:val="both"/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</w:pPr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  <w:t>The CFAS assists the IRBA to develop and maintain auditing pronouncements which are</w:t>
            </w:r>
          </w:p>
          <w:p w:rsidR="001D09E4" w:rsidRPr="00181019" w:rsidRDefault="00C85EF5" w:rsidP="00C85EF5">
            <w:pPr>
              <w:ind w:right="235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Helvetica-Oblique" w:hAnsi="Helvetica-Oblique" w:cs="Helvetica-Oblique"/>
                <w:i/>
                <w:iCs/>
                <w:sz w:val="19"/>
                <w:szCs w:val="19"/>
                <w:lang w:val="en-ZA" w:eastAsia="en-ZA"/>
              </w:rPr>
              <w:t>internationally comparable.</w:t>
            </w:r>
          </w:p>
        </w:tc>
      </w:tr>
    </w:tbl>
    <w:p w:rsidR="001D09E4" w:rsidRPr="00181019" w:rsidRDefault="001D09E4" w:rsidP="00E804A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81019">
        <w:rPr>
          <w:rFonts w:ascii="Arial" w:hAnsi="Arial" w:cs="Arial"/>
          <w:color w:val="7C7C7C"/>
          <w:sz w:val="22"/>
          <w:szCs w:val="22"/>
          <w:lang w:val="en-GB"/>
        </w:rPr>
        <w:lastRenderedPageBreak/>
        <w:t> </w:t>
      </w:r>
    </w:p>
    <w:sectPr w:rsidR="001D09E4" w:rsidRPr="00181019" w:rsidSect="00645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99" w:rsidRDefault="00C97A99">
      <w:r>
        <w:separator/>
      </w:r>
    </w:p>
  </w:endnote>
  <w:endnote w:type="continuationSeparator" w:id="0">
    <w:p w:rsidR="00C97A99" w:rsidRDefault="00C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99" w:rsidRDefault="00C97A99">
      <w:r>
        <w:separator/>
      </w:r>
    </w:p>
  </w:footnote>
  <w:footnote w:type="continuationSeparator" w:id="0">
    <w:p w:rsidR="00C97A99" w:rsidRDefault="00C9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B6372"/>
    <w:multiLevelType w:val="hybridMultilevel"/>
    <w:tmpl w:val="8BB420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B5AE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A2521DA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7923E87"/>
    <w:multiLevelType w:val="hybridMultilevel"/>
    <w:tmpl w:val="B01CD9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67169"/>
    <w:multiLevelType w:val="multilevel"/>
    <w:tmpl w:val="19F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772B8D"/>
    <w:multiLevelType w:val="hybridMultilevel"/>
    <w:tmpl w:val="E38ACB3E"/>
    <w:lvl w:ilvl="0" w:tplc="EE06F2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541AA"/>
    <w:multiLevelType w:val="hybridMultilevel"/>
    <w:tmpl w:val="CCFEAF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42F5C"/>
    <w:multiLevelType w:val="hybridMultilevel"/>
    <w:tmpl w:val="17A6A4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922CB"/>
    <w:multiLevelType w:val="hybridMultilevel"/>
    <w:tmpl w:val="0E485AF2"/>
    <w:lvl w:ilvl="0" w:tplc="10F4BA4E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9DD2BC5"/>
    <w:multiLevelType w:val="hybridMultilevel"/>
    <w:tmpl w:val="9D1E0960"/>
    <w:lvl w:ilvl="0" w:tplc="10F4BA4E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83205F4"/>
    <w:multiLevelType w:val="multilevel"/>
    <w:tmpl w:val="7CAE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C2185"/>
    <w:multiLevelType w:val="hybridMultilevel"/>
    <w:tmpl w:val="69EC1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7FC32C10"/>
    <w:multiLevelType w:val="hybridMultilevel"/>
    <w:tmpl w:val="5C5EFC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62"/>
    <w:rsid w:val="00032EC5"/>
    <w:rsid w:val="00044382"/>
    <w:rsid w:val="000450CD"/>
    <w:rsid w:val="0005147F"/>
    <w:rsid w:val="0006670E"/>
    <w:rsid w:val="000878CF"/>
    <w:rsid w:val="00092D8D"/>
    <w:rsid w:val="000B3AC9"/>
    <w:rsid w:val="000B4148"/>
    <w:rsid w:val="000C6DE2"/>
    <w:rsid w:val="000E3393"/>
    <w:rsid w:val="00101136"/>
    <w:rsid w:val="00114451"/>
    <w:rsid w:val="00116085"/>
    <w:rsid w:val="00123582"/>
    <w:rsid w:val="00126186"/>
    <w:rsid w:val="00134F54"/>
    <w:rsid w:val="00143E32"/>
    <w:rsid w:val="0017487B"/>
    <w:rsid w:val="00181019"/>
    <w:rsid w:val="0018695A"/>
    <w:rsid w:val="001A7934"/>
    <w:rsid w:val="001C25A5"/>
    <w:rsid w:val="001C4B9C"/>
    <w:rsid w:val="001D09E4"/>
    <w:rsid w:val="001F4B6D"/>
    <w:rsid w:val="002012B2"/>
    <w:rsid w:val="00203D03"/>
    <w:rsid w:val="00214ACB"/>
    <w:rsid w:val="00216C17"/>
    <w:rsid w:val="00216F8A"/>
    <w:rsid w:val="002227F1"/>
    <w:rsid w:val="0022472F"/>
    <w:rsid w:val="00232478"/>
    <w:rsid w:val="0024081E"/>
    <w:rsid w:val="00245BF9"/>
    <w:rsid w:val="0026121A"/>
    <w:rsid w:val="00283CE6"/>
    <w:rsid w:val="002844DA"/>
    <w:rsid w:val="00295291"/>
    <w:rsid w:val="002A60B6"/>
    <w:rsid w:val="002A74E0"/>
    <w:rsid w:val="002B1D0A"/>
    <w:rsid w:val="002B73E0"/>
    <w:rsid w:val="002D6054"/>
    <w:rsid w:val="002D7307"/>
    <w:rsid w:val="002E40D3"/>
    <w:rsid w:val="002F1772"/>
    <w:rsid w:val="002F77EB"/>
    <w:rsid w:val="002F7B31"/>
    <w:rsid w:val="0031509D"/>
    <w:rsid w:val="00315776"/>
    <w:rsid w:val="00325494"/>
    <w:rsid w:val="003278F9"/>
    <w:rsid w:val="00327D6F"/>
    <w:rsid w:val="0033418B"/>
    <w:rsid w:val="003356FE"/>
    <w:rsid w:val="00336950"/>
    <w:rsid w:val="00342BA3"/>
    <w:rsid w:val="003550C3"/>
    <w:rsid w:val="00356960"/>
    <w:rsid w:val="0037190D"/>
    <w:rsid w:val="0039194F"/>
    <w:rsid w:val="003A1121"/>
    <w:rsid w:val="003B67FC"/>
    <w:rsid w:val="003C3E51"/>
    <w:rsid w:val="003E2B95"/>
    <w:rsid w:val="003F2A7A"/>
    <w:rsid w:val="0040189D"/>
    <w:rsid w:val="004170DD"/>
    <w:rsid w:val="004228B0"/>
    <w:rsid w:val="00430ADA"/>
    <w:rsid w:val="00431DBA"/>
    <w:rsid w:val="00434699"/>
    <w:rsid w:val="00444A8F"/>
    <w:rsid w:val="00465756"/>
    <w:rsid w:val="00485F72"/>
    <w:rsid w:val="004A08F3"/>
    <w:rsid w:val="004A29F3"/>
    <w:rsid w:val="004B0A62"/>
    <w:rsid w:val="004B190D"/>
    <w:rsid w:val="004D11BE"/>
    <w:rsid w:val="004D4668"/>
    <w:rsid w:val="004E7CED"/>
    <w:rsid w:val="004F1712"/>
    <w:rsid w:val="004F63B7"/>
    <w:rsid w:val="00502FE5"/>
    <w:rsid w:val="00511BC1"/>
    <w:rsid w:val="00520C08"/>
    <w:rsid w:val="00562ACE"/>
    <w:rsid w:val="005807F4"/>
    <w:rsid w:val="005811FF"/>
    <w:rsid w:val="0058255C"/>
    <w:rsid w:val="00592B5B"/>
    <w:rsid w:val="0059783A"/>
    <w:rsid w:val="005C5483"/>
    <w:rsid w:val="005C6195"/>
    <w:rsid w:val="005D3E51"/>
    <w:rsid w:val="005D7CC4"/>
    <w:rsid w:val="005E3CC8"/>
    <w:rsid w:val="005F16E7"/>
    <w:rsid w:val="0060435D"/>
    <w:rsid w:val="00620907"/>
    <w:rsid w:val="00626C7F"/>
    <w:rsid w:val="00637821"/>
    <w:rsid w:val="0064505F"/>
    <w:rsid w:val="00657150"/>
    <w:rsid w:val="00657AC1"/>
    <w:rsid w:val="006637CA"/>
    <w:rsid w:val="00665BA3"/>
    <w:rsid w:val="00667C74"/>
    <w:rsid w:val="006817C0"/>
    <w:rsid w:val="0068669D"/>
    <w:rsid w:val="006964CA"/>
    <w:rsid w:val="006B6619"/>
    <w:rsid w:val="006B7A0B"/>
    <w:rsid w:val="006E3E2B"/>
    <w:rsid w:val="006F44C4"/>
    <w:rsid w:val="0070324F"/>
    <w:rsid w:val="00711F93"/>
    <w:rsid w:val="00715EC2"/>
    <w:rsid w:val="00720CBE"/>
    <w:rsid w:val="007279B3"/>
    <w:rsid w:val="007338EB"/>
    <w:rsid w:val="00736DEE"/>
    <w:rsid w:val="007410C7"/>
    <w:rsid w:val="00741FA5"/>
    <w:rsid w:val="00762565"/>
    <w:rsid w:val="00764F7F"/>
    <w:rsid w:val="00766238"/>
    <w:rsid w:val="007665E9"/>
    <w:rsid w:val="00771AA5"/>
    <w:rsid w:val="0078522E"/>
    <w:rsid w:val="0078740D"/>
    <w:rsid w:val="007B15D8"/>
    <w:rsid w:val="007B322D"/>
    <w:rsid w:val="007B381D"/>
    <w:rsid w:val="007B4B6C"/>
    <w:rsid w:val="007D5559"/>
    <w:rsid w:val="007D77EF"/>
    <w:rsid w:val="007E2CDE"/>
    <w:rsid w:val="007F2BE9"/>
    <w:rsid w:val="007F65C4"/>
    <w:rsid w:val="008044A3"/>
    <w:rsid w:val="00817D8E"/>
    <w:rsid w:val="00841D0A"/>
    <w:rsid w:val="00847575"/>
    <w:rsid w:val="0086276B"/>
    <w:rsid w:val="00862F7E"/>
    <w:rsid w:val="0089033B"/>
    <w:rsid w:val="008942A8"/>
    <w:rsid w:val="0089542C"/>
    <w:rsid w:val="008C0F0D"/>
    <w:rsid w:val="008C24D6"/>
    <w:rsid w:val="008E2763"/>
    <w:rsid w:val="008F6957"/>
    <w:rsid w:val="009141DD"/>
    <w:rsid w:val="00980C92"/>
    <w:rsid w:val="00981863"/>
    <w:rsid w:val="00982D4C"/>
    <w:rsid w:val="00990772"/>
    <w:rsid w:val="009E51B6"/>
    <w:rsid w:val="009E5345"/>
    <w:rsid w:val="00A07645"/>
    <w:rsid w:val="00A10918"/>
    <w:rsid w:val="00A25906"/>
    <w:rsid w:val="00A308FB"/>
    <w:rsid w:val="00A320E2"/>
    <w:rsid w:val="00A338B0"/>
    <w:rsid w:val="00A719B1"/>
    <w:rsid w:val="00A81BD8"/>
    <w:rsid w:val="00A8249F"/>
    <w:rsid w:val="00AA715B"/>
    <w:rsid w:val="00AB779F"/>
    <w:rsid w:val="00AC0C4E"/>
    <w:rsid w:val="00AC62A0"/>
    <w:rsid w:val="00AC74DF"/>
    <w:rsid w:val="00AD0FAA"/>
    <w:rsid w:val="00AD7D5A"/>
    <w:rsid w:val="00AE7660"/>
    <w:rsid w:val="00B0640C"/>
    <w:rsid w:val="00B11639"/>
    <w:rsid w:val="00B11F48"/>
    <w:rsid w:val="00B12E5A"/>
    <w:rsid w:val="00B17169"/>
    <w:rsid w:val="00B2199A"/>
    <w:rsid w:val="00B3448B"/>
    <w:rsid w:val="00B375FA"/>
    <w:rsid w:val="00B44226"/>
    <w:rsid w:val="00B53800"/>
    <w:rsid w:val="00B56DC1"/>
    <w:rsid w:val="00B61638"/>
    <w:rsid w:val="00B65630"/>
    <w:rsid w:val="00B659C3"/>
    <w:rsid w:val="00B837E8"/>
    <w:rsid w:val="00BA67CB"/>
    <w:rsid w:val="00BE29DF"/>
    <w:rsid w:val="00BE3A04"/>
    <w:rsid w:val="00BE76AC"/>
    <w:rsid w:val="00BF23CF"/>
    <w:rsid w:val="00C06C45"/>
    <w:rsid w:val="00C075A2"/>
    <w:rsid w:val="00C23AA8"/>
    <w:rsid w:val="00C26742"/>
    <w:rsid w:val="00C40FBA"/>
    <w:rsid w:val="00C451BF"/>
    <w:rsid w:val="00C54FEE"/>
    <w:rsid w:val="00C743AF"/>
    <w:rsid w:val="00C83BDB"/>
    <w:rsid w:val="00C85EF5"/>
    <w:rsid w:val="00C97A99"/>
    <w:rsid w:val="00CA3A48"/>
    <w:rsid w:val="00CB4B32"/>
    <w:rsid w:val="00CC4DBE"/>
    <w:rsid w:val="00CD5BB4"/>
    <w:rsid w:val="00CE05FC"/>
    <w:rsid w:val="00CE2799"/>
    <w:rsid w:val="00CF3C7A"/>
    <w:rsid w:val="00CF4646"/>
    <w:rsid w:val="00D00FBD"/>
    <w:rsid w:val="00D1346E"/>
    <w:rsid w:val="00D248FA"/>
    <w:rsid w:val="00D40F54"/>
    <w:rsid w:val="00D4672E"/>
    <w:rsid w:val="00D50000"/>
    <w:rsid w:val="00D669A2"/>
    <w:rsid w:val="00D753EF"/>
    <w:rsid w:val="00D768AE"/>
    <w:rsid w:val="00D87912"/>
    <w:rsid w:val="00D92C23"/>
    <w:rsid w:val="00DA5AED"/>
    <w:rsid w:val="00DC0067"/>
    <w:rsid w:val="00DC5C0F"/>
    <w:rsid w:val="00DD1120"/>
    <w:rsid w:val="00DE6BF7"/>
    <w:rsid w:val="00DF707A"/>
    <w:rsid w:val="00E01488"/>
    <w:rsid w:val="00E13438"/>
    <w:rsid w:val="00E14D45"/>
    <w:rsid w:val="00E203C8"/>
    <w:rsid w:val="00E31ACF"/>
    <w:rsid w:val="00E478D2"/>
    <w:rsid w:val="00E5656B"/>
    <w:rsid w:val="00E57669"/>
    <w:rsid w:val="00E705F2"/>
    <w:rsid w:val="00E725B7"/>
    <w:rsid w:val="00E804AF"/>
    <w:rsid w:val="00E860E3"/>
    <w:rsid w:val="00E900DF"/>
    <w:rsid w:val="00E9626D"/>
    <w:rsid w:val="00EA3655"/>
    <w:rsid w:val="00EB05BF"/>
    <w:rsid w:val="00EB277F"/>
    <w:rsid w:val="00EB3DD8"/>
    <w:rsid w:val="00ED698F"/>
    <w:rsid w:val="00EE0BDC"/>
    <w:rsid w:val="00EE4F67"/>
    <w:rsid w:val="00EF12F9"/>
    <w:rsid w:val="00EF4769"/>
    <w:rsid w:val="00F0083E"/>
    <w:rsid w:val="00F06026"/>
    <w:rsid w:val="00F1120B"/>
    <w:rsid w:val="00F22686"/>
    <w:rsid w:val="00F2762C"/>
    <w:rsid w:val="00F511BB"/>
    <w:rsid w:val="00F6677D"/>
    <w:rsid w:val="00F72ADB"/>
    <w:rsid w:val="00F84BEA"/>
    <w:rsid w:val="00F85C68"/>
    <w:rsid w:val="00F87562"/>
    <w:rsid w:val="00F92DF3"/>
    <w:rsid w:val="00FD1B51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47CCCB-38C5-4A93-BAEF-6026F735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4C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orDepartment">
    <w:name w:val="Title or Department"/>
    <w:rsid w:val="004B0A62"/>
    <w:rPr>
      <w:rFonts w:ascii="Calibri" w:hAnsi="Calibri" w:cs="Times New Roman"/>
      <w:b/>
      <w:bCs/>
      <w:color w:val="C00000"/>
    </w:rPr>
  </w:style>
  <w:style w:type="character" w:customStyle="1" w:styleId="Subject">
    <w:name w:val="Subject:"/>
    <w:rsid w:val="004B0A62"/>
    <w:rPr>
      <w:rFonts w:ascii="Calibri" w:hAnsi="Calibri" w:cs="Times New Roman"/>
      <w:b/>
      <w:bCs/>
      <w:color w:val="7C6440"/>
    </w:rPr>
  </w:style>
  <w:style w:type="character" w:customStyle="1" w:styleId="PlaceDate">
    <w:name w:val="Place &amp; Date"/>
    <w:rsid w:val="004B0A62"/>
    <w:rPr>
      <w:rFonts w:ascii="Calibri" w:hAnsi="Calibri" w:cs="Times New Roman"/>
      <w:color w:val="7C7C7C"/>
    </w:rPr>
  </w:style>
  <w:style w:type="character" w:styleId="Hyperlink">
    <w:name w:val="Hyperlink"/>
    <w:rsid w:val="000878CF"/>
    <w:rPr>
      <w:rFonts w:cs="Times New Roman"/>
      <w:color w:val="BD392D"/>
      <w:u w:val="single"/>
      <w:effect w:val="none"/>
    </w:rPr>
  </w:style>
  <w:style w:type="paragraph" w:styleId="BalloonText">
    <w:name w:val="Balloon Text"/>
    <w:basedOn w:val="Normal"/>
    <w:link w:val="BalloonTextChar"/>
    <w:semiHidden/>
    <w:rsid w:val="0069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C24D6"/>
    <w:rPr>
      <w:rFonts w:cs="Times New Roman"/>
      <w:sz w:val="2"/>
    </w:rPr>
  </w:style>
  <w:style w:type="character" w:styleId="CommentReference">
    <w:name w:val="annotation reference"/>
    <w:semiHidden/>
    <w:rsid w:val="005D3E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3E51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8C24D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D3E5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8C24D6"/>
    <w:rPr>
      <w:rFonts w:cs="Times New Roman"/>
      <w:b/>
      <w:bCs/>
      <w:sz w:val="20"/>
      <w:szCs w:val="20"/>
    </w:rPr>
  </w:style>
  <w:style w:type="character" w:styleId="Emphasis">
    <w:name w:val="Emphasis"/>
    <w:qFormat/>
    <w:rsid w:val="00AC0C4E"/>
    <w:rPr>
      <w:rFonts w:cs="Times New Roman"/>
      <w:i/>
      <w:iCs/>
    </w:rPr>
  </w:style>
  <w:style w:type="paragraph" w:customStyle="1" w:styleId="mainhead">
    <w:name w:val="mainhead"/>
    <w:basedOn w:val="Normal"/>
    <w:rsid w:val="0086276B"/>
    <w:pPr>
      <w:spacing w:before="240" w:line="360" w:lineRule="exact"/>
    </w:pPr>
    <w:rPr>
      <w:b/>
      <w:sz w:val="36"/>
      <w:szCs w:val="20"/>
      <w:lang w:val="en-GB"/>
    </w:rPr>
  </w:style>
  <w:style w:type="character" w:styleId="FollowedHyperlink">
    <w:name w:val="FollowedHyperlink"/>
    <w:rsid w:val="00C23AA8"/>
    <w:rPr>
      <w:rFonts w:cs="Times New Roman"/>
      <w:color w:val="800080"/>
      <w:u w:val="single"/>
    </w:rPr>
  </w:style>
  <w:style w:type="paragraph" w:styleId="NormalWeb">
    <w:name w:val="Normal (Web)"/>
    <w:basedOn w:val="Normal"/>
    <w:rsid w:val="00D753EF"/>
    <w:pPr>
      <w:spacing w:before="100" w:beforeAutospacing="1" w:after="100" w:afterAutospacing="1"/>
    </w:pPr>
  </w:style>
  <w:style w:type="character" w:styleId="Strong">
    <w:name w:val="Strong"/>
    <w:qFormat/>
    <w:rsid w:val="00D753EF"/>
    <w:rPr>
      <w:rFonts w:cs="Times New Roman"/>
      <w:b/>
      <w:bCs/>
    </w:rPr>
  </w:style>
  <w:style w:type="paragraph" w:styleId="Header">
    <w:name w:val="header"/>
    <w:basedOn w:val="Normal"/>
    <w:link w:val="HeaderChar"/>
    <w:rsid w:val="00F276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8C24D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F2762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8C24D6"/>
    <w:rPr>
      <w:rFonts w:cs="Times New Roman"/>
      <w:sz w:val="24"/>
      <w:szCs w:val="24"/>
    </w:rPr>
  </w:style>
  <w:style w:type="character" w:customStyle="1" w:styleId="PlainTextChar">
    <w:name w:val="Plain Text Char"/>
    <w:locked/>
    <w:rsid w:val="002A60B6"/>
    <w:rPr>
      <w:rFonts w:ascii="Consolas" w:hAnsi="Consolas"/>
    </w:rPr>
  </w:style>
  <w:style w:type="paragraph" w:styleId="PlainText">
    <w:name w:val="Plain Text"/>
    <w:basedOn w:val="Normal"/>
    <w:link w:val="PlainTextChar1"/>
    <w:rsid w:val="002A60B6"/>
    <w:rPr>
      <w:rFonts w:ascii="Consolas" w:hAnsi="Consolas"/>
      <w:sz w:val="20"/>
      <w:szCs w:val="20"/>
    </w:rPr>
  </w:style>
  <w:style w:type="character" w:customStyle="1" w:styleId="PlainTextChar1">
    <w:name w:val="Plain Text Char1"/>
    <w:link w:val="PlainText"/>
    <w:semiHidden/>
    <w:locked/>
    <w:rsid w:val="008C24D6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CC4DB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val="en-GB" w:eastAsia="ja-JP"/>
    </w:rPr>
  </w:style>
  <w:style w:type="paragraph" w:customStyle="1" w:styleId="ac-01">
    <w:name w:val="ac-01"/>
    <w:basedOn w:val="Default"/>
    <w:next w:val="Default"/>
    <w:rsid w:val="00CC4DBE"/>
    <w:rPr>
      <w:color w:val="auto"/>
    </w:rPr>
  </w:style>
  <w:style w:type="paragraph" w:styleId="Title">
    <w:name w:val="Title"/>
    <w:basedOn w:val="Normal"/>
    <w:link w:val="TitleChar"/>
    <w:qFormat/>
    <w:locked/>
    <w:rsid w:val="00CC4DBE"/>
    <w:pPr>
      <w:jc w:val="center"/>
    </w:pPr>
    <w:rPr>
      <w:b/>
      <w:szCs w:val="20"/>
      <w:lang w:eastAsia="en-GB"/>
    </w:rPr>
  </w:style>
  <w:style w:type="character" w:customStyle="1" w:styleId="TitleChar">
    <w:name w:val="Title Char"/>
    <w:link w:val="Title"/>
    <w:locked/>
    <w:rsid w:val="008C24D6"/>
    <w:rPr>
      <w:rFonts w:ascii="Cambria" w:hAnsi="Cambria" w:cs="Times New Roman"/>
      <w:b/>
      <w:bCs/>
      <w:kern w:val="28"/>
      <w:sz w:val="32"/>
      <w:szCs w:val="32"/>
    </w:rPr>
  </w:style>
  <w:style w:type="numbering" w:customStyle="1" w:styleId="Style1">
    <w:name w:val="Style1"/>
    <w:rsid w:val="00273B7C"/>
    <w:pPr>
      <w:numPr>
        <w:numId w:val="1"/>
      </w:numPr>
    </w:pPr>
  </w:style>
  <w:style w:type="numbering" w:customStyle="1" w:styleId="Style2">
    <w:name w:val="Style2"/>
    <w:rsid w:val="00273B7C"/>
    <w:pPr>
      <w:numPr>
        <w:numId w:val="3"/>
      </w:numPr>
    </w:pPr>
  </w:style>
  <w:style w:type="table" w:styleId="TableGrid">
    <w:name w:val="Table Grid"/>
    <w:basedOn w:val="TableNormal"/>
    <w:locked/>
    <w:rsid w:val="003C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2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a.co.za/guidance-to-ras/technical-guidance-for-auditors/auditing-standards-and-guides/south-african-standards-and-practice-state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andards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1CCA-2A06-4571-87DB-A8ACA358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for Auditing Standards</vt:lpstr>
    </vt:vector>
  </TitlesOfParts>
  <Company>IRBA</Company>
  <LinksUpToDate>false</LinksUpToDate>
  <CharactersWithSpaces>4301</CharactersWithSpaces>
  <SharedDoc>false</SharedDoc>
  <HLinks>
    <vt:vector size="18" baseType="variant">
      <vt:variant>
        <vt:i4>2424907</vt:i4>
      </vt:variant>
      <vt:variant>
        <vt:i4>3</vt:i4>
      </vt:variant>
      <vt:variant>
        <vt:i4>0</vt:i4>
      </vt:variant>
      <vt:variant>
        <vt:i4>5</vt:i4>
      </vt:variant>
      <vt:variant>
        <vt:lpwstr>mailto:standards@irba.co.za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http://www.irba.co.za/</vt:lpwstr>
      </vt:variant>
      <vt:variant>
        <vt:lpwstr/>
      </vt:variant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http://www.ifac.org/publications-resources/international-standard-review-engagements-2400-revised-engagements-review-his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for Auditing Standards</dc:title>
  <dc:creator>Nicki Simons;Sandy van Esch</dc:creator>
  <cp:lastModifiedBy>Henriette Fortuin</cp:lastModifiedBy>
  <cp:revision>3</cp:revision>
  <cp:lastPrinted>2012-12-18T14:05:00Z</cp:lastPrinted>
  <dcterms:created xsi:type="dcterms:W3CDTF">2016-07-25T10:50:00Z</dcterms:created>
  <dcterms:modified xsi:type="dcterms:W3CDTF">2016-07-25T13:56:00Z</dcterms:modified>
</cp:coreProperties>
</file>