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F5C" w:rsidRPr="005E79E6" w:rsidRDefault="00CA0F5C" w:rsidP="00CA0F5C">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5E79E6">
        <w:rPr>
          <w:rFonts w:ascii="Arial" w:hAnsi="Arial" w:cs="Arial"/>
          <w:b/>
          <w:bCs/>
          <w:color w:val="CC0000"/>
          <w:lang w:val="en-GB"/>
        </w:rPr>
        <w:t>INDEPENDENT REGULATORY BOARD FOR AUDITORS</w:t>
      </w:r>
    </w:p>
    <w:p w:rsidR="00CA0F5C" w:rsidRPr="00177C18" w:rsidRDefault="00CA0F5C" w:rsidP="00CA0F5C">
      <w:pPr>
        <w:pBdr>
          <w:top w:val="single" w:sz="4" w:space="1" w:color="auto"/>
          <w:bottom w:val="single" w:sz="4" w:space="1" w:color="auto"/>
        </w:pBdr>
        <w:spacing w:before="120" w:after="120" w:line="312" w:lineRule="atLeast"/>
        <w:jc w:val="center"/>
        <w:rPr>
          <w:rFonts w:ascii="Arial" w:hAnsi="Arial" w:cs="Arial"/>
          <w:b/>
          <w:bCs/>
          <w:lang w:val="en-GB"/>
        </w:rPr>
      </w:pPr>
      <w:r w:rsidRPr="00177C18">
        <w:rPr>
          <w:rFonts w:ascii="Arial" w:hAnsi="Arial" w:cs="Arial"/>
          <w:b/>
          <w:bCs/>
          <w:lang w:val="en-GB"/>
        </w:rPr>
        <w:t>COMMITTEE FOR AUDITOR ETHICS</w:t>
      </w:r>
    </w:p>
    <w:p w:rsidR="00CA0F5C" w:rsidRPr="00CA0F5C" w:rsidRDefault="00CA0F5C" w:rsidP="00CA0F5C">
      <w:pPr>
        <w:pStyle w:val="Default"/>
        <w:jc w:val="center"/>
        <w:rPr>
          <w:sz w:val="22"/>
          <w:szCs w:val="22"/>
        </w:rPr>
      </w:pPr>
      <w:bookmarkStart w:id="0" w:name="Text2"/>
      <w:bookmarkEnd w:id="0"/>
      <w:r w:rsidRPr="00CA0F5C">
        <w:rPr>
          <w:b/>
          <w:bCs/>
          <w:sz w:val="22"/>
          <w:szCs w:val="22"/>
        </w:rPr>
        <w:t>IRBA CODE OF PROFESSIONAL CONDUCT HIGH LEVEL SUMMARY</w:t>
      </w:r>
      <w:r w:rsidRPr="00CA0F5C">
        <w:rPr>
          <w:b/>
          <w:bCs/>
          <w:sz w:val="22"/>
          <w:szCs w:val="22"/>
          <w:vertAlign w:val="superscript"/>
        </w:rPr>
        <w:t xml:space="preserve"> </w:t>
      </w:r>
      <w:r w:rsidRPr="00CA0F5C">
        <w:rPr>
          <w:b/>
          <w:bCs/>
          <w:sz w:val="22"/>
          <w:szCs w:val="22"/>
        </w:rPr>
        <w:t>OF PROHIBITIONS APPLICABLE TO AUDITS</w:t>
      </w:r>
      <w:r w:rsidR="008161AF">
        <w:rPr>
          <w:b/>
          <w:bCs/>
          <w:sz w:val="22"/>
          <w:szCs w:val="22"/>
        </w:rPr>
        <w:t xml:space="preserve"> AND REVIEWS</w:t>
      </w:r>
      <w:r w:rsidRPr="00CA0F5C">
        <w:rPr>
          <w:b/>
          <w:bCs/>
          <w:sz w:val="22"/>
          <w:szCs w:val="22"/>
        </w:rPr>
        <w:t xml:space="preserve"> </w:t>
      </w:r>
    </w:p>
    <w:p w:rsidR="00070673" w:rsidRPr="00857B63" w:rsidRDefault="00CA0F5C" w:rsidP="00857B63">
      <w:pPr>
        <w:spacing w:before="120" w:after="120"/>
        <w:jc w:val="center"/>
        <w:rPr>
          <w:rFonts w:ascii="Arial" w:hAnsi="Arial" w:cs="Arial"/>
          <w:lang w:val="en-GB"/>
        </w:rPr>
      </w:pPr>
      <w:r w:rsidRPr="005E79E6">
        <w:rPr>
          <w:rFonts w:ascii="Arial" w:hAnsi="Arial" w:cs="Arial"/>
          <w:lang w:val="en-GB"/>
        </w:rPr>
        <w:t xml:space="preserve">Johannesburg / </w:t>
      </w:r>
      <w:r w:rsidR="00690712">
        <w:rPr>
          <w:rFonts w:ascii="Arial" w:hAnsi="Arial" w:cs="Arial"/>
          <w:lang w:val="en-GB"/>
        </w:rPr>
        <w:t>1</w:t>
      </w:r>
      <w:r w:rsidR="00867BCE">
        <w:rPr>
          <w:rFonts w:ascii="Arial" w:hAnsi="Arial" w:cs="Arial"/>
          <w:lang w:val="en-GB"/>
        </w:rPr>
        <w:t>1</w:t>
      </w:r>
      <w:r w:rsidR="002F6EDB">
        <w:rPr>
          <w:rFonts w:ascii="Arial" w:hAnsi="Arial" w:cs="Arial"/>
          <w:lang w:val="en-GB"/>
        </w:rPr>
        <w:t xml:space="preserve"> </w:t>
      </w:r>
      <w:r w:rsidR="00910FD8">
        <w:rPr>
          <w:rFonts w:ascii="Arial" w:hAnsi="Arial" w:cs="Arial"/>
          <w:lang w:val="en-GB"/>
        </w:rPr>
        <w:t>October</w:t>
      </w:r>
      <w:r>
        <w:rPr>
          <w:rFonts w:ascii="Arial" w:hAnsi="Arial" w:cs="Arial"/>
          <w:lang w:val="en-GB"/>
        </w:rPr>
        <w:t xml:space="preserve"> 2012</w:t>
      </w:r>
    </w:p>
    <w:p w:rsidR="009B1D94" w:rsidRDefault="00CA0F5C" w:rsidP="007348F1">
      <w:pPr>
        <w:pStyle w:val="Default"/>
        <w:jc w:val="both"/>
        <w:rPr>
          <w:sz w:val="20"/>
          <w:szCs w:val="20"/>
        </w:rPr>
      </w:pPr>
      <w:r w:rsidRPr="009B1D94">
        <w:rPr>
          <w:bCs/>
          <w:sz w:val="20"/>
          <w:szCs w:val="20"/>
        </w:rPr>
        <w:t xml:space="preserve">The </w:t>
      </w:r>
      <w:r w:rsidR="009332CA" w:rsidRPr="009A0A78">
        <w:rPr>
          <w:sz w:val="20"/>
          <w:szCs w:val="20"/>
        </w:rPr>
        <w:t xml:space="preserve">International Ethics Standards Board for Accountants (IESBA) </w:t>
      </w:r>
      <w:r w:rsidR="00427C10">
        <w:rPr>
          <w:bCs/>
          <w:sz w:val="20"/>
          <w:szCs w:val="20"/>
        </w:rPr>
        <w:t xml:space="preserve">issued </w:t>
      </w:r>
      <w:r w:rsidR="003332E1">
        <w:rPr>
          <w:bCs/>
          <w:sz w:val="20"/>
          <w:szCs w:val="20"/>
        </w:rPr>
        <w:t xml:space="preserve">a </w:t>
      </w:r>
      <w:r w:rsidR="002F6EDB">
        <w:rPr>
          <w:bCs/>
          <w:sz w:val="20"/>
          <w:szCs w:val="20"/>
        </w:rPr>
        <w:t>“</w:t>
      </w:r>
      <w:r w:rsidR="00427C10">
        <w:rPr>
          <w:bCs/>
          <w:sz w:val="20"/>
          <w:szCs w:val="20"/>
        </w:rPr>
        <w:t>Guidance and Support Tool</w:t>
      </w:r>
      <w:r w:rsidR="002F6EDB">
        <w:rPr>
          <w:bCs/>
          <w:sz w:val="20"/>
          <w:szCs w:val="20"/>
        </w:rPr>
        <w:t>”</w:t>
      </w:r>
      <w:r w:rsidRPr="009B1D94">
        <w:rPr>
          <w:bCs/>
          <w:sz w:val="20"/>
          <w:szCs w:val="20"/>
        </w:rPr>
        <w:t xml:space="preserve"> </w:t>
      </w:r>
      <w:r w:rsidR="003332E1">
        <w:rPr>
          <w:bCs/>
          <w:sz w:val="20"/>
          <w:szCs w:val="20"/>
        </w:rPr>
        <w:t>entitled</w:t>
      </w:r>
      <w:r w:rsidR="00043094">
        <w:rPr>
          <w:bCs/>
          <w:sz w:val="20"/>
          <w:szCs w:val="20"/>
        </w:rPr>
        <w:t xml:space="preserve"> </w:t>
      </w:r>
      <w:r w:rsidR="00043094" w:rsidRPr="009B1D94">
        <w:rPr>
          <w:bCs/>
          <w:sz w:val="20"/>
          <w:szCs w:val="20"/>
        </w:rPr>
        <w:t>“</w:t>
      </w:r>
      <w:hyperlink r:id="rId8" w:history="1">
        <w:r w:rsidR="009B1D94" w:rsidRPr="009D48E4">
          <w:rPr>
            <w:rStyle w:val="Hyperlink"/>
            <w:sz w:val="20"/>
            <w:szCs w:val="20"/>
          </w:rPr>
          <w:t>IESBA Code of Ethics High Level Summary of Prohibitions Applicable to Audits of Public Interest Entities</w:t>
        </w:r>
      </w:hyperlink>
      <w:r w:rsidR="00304751">
        <w:rPr>
          <w:rStyle w:val="blue"/>
          <w:sz w:val="20"/>
          <w:szCs w:val="20"/>
        </w:rPr>
        <w:t xml:space="preserve">”. </w:t>
      </w:r>
      <w:r w:rsidR="00910FD8">
        <w:rPr>
          <w:rStyle w:val="blue"/>
          <w:sz w:val="20"/>
          <w:szCs w:val="20"/>
        </w:rPr>
        <w:t>This</w:t>
      </w:r>
      <w:r w:rsidR="009B1D94" w:rsidRPr="009B1D94">
        <w:rPr>
          <w:bCs/>
          <w:sz w:val="20"/>
          <w:szCs w:val="20"/>
        </w:rPr>
        <w:t xml:space="preserve"> summarised at a high level</w:t>
      </w:r>
      <w:r w:rsidRPr="009B1D94">
        <w:rPr>
          <w:bCs/>
          <w:sz w:val="20"/>
          <w:szCs w:val="20"/>
        </w:rPr>
        <w:t xml:space="preserve"> </w:t>
      </w:r>
      <w:r w:rsidR="00910FD8">
        <w:rPr>
          <w:bCs/>
          <w:sz w:val="20"/>
          <w:szCs w:val="20"/>
        </w:rPr>
        <w:t>the prohibitions contained</w:t>
      </w:r>
      <w:r w:rsidR="009332CA" w:rsidRPr="009B1D94">
        <w:rPr>
          <w:bCs/>
          <w:sz w:val="20"/>
          <w:szCs w:val="20"/>
        </w:rPr>
        <w:t xml:space="preserve"> in the </w:t>
      </w:r>
      <w:r w:rsidR="009B1D94" w:rsidRPr="009A0A78">
        <w:rPr>
          <w:sz w:val="20"/>
          <w:szCs w:val="20"/>
        </w:rPr>
        <w:t xml:space="preserve">IESBA </w:t>
      </w:r>
      <w:r w:rsidR="009332CA" w:rsidRPr="00304751">
        <w:rPr>
          <w:iCs/>
          <w:sz w:val="20"/>
          <w:szCs w:val="20"/>
        </w:rPr>
        <w:t>Code</w:t>
      </w:r>
      <w:r w:rsidR="009332CA" w:rsidRPr="009B1D94">
        <w:rPr>
          <w:sz w:val="20"/>
          <w:szCs w:val="20"/>
        </w:rPr>
        <w:t>.</w:t>
      </w:r>
    </w:p>
    <w:p w:rsidR="009B1D94" w:rsidRDefault="009B1D94" w:rsidP="007348F1">
      <w:pPr>
        <w:pStyle w:val="Default"/>
        <w:jc w:val="both"/>
        <w:rPr>
          <w:sz w:val="20"/>
          <w:szCs w:val="20"/>
        </w:rPr>
      </w:pPr>
    </w:p>
    <w:p w:rsidR="00070673" w:rsidRDefault="00910FD8" w:rsidP="007348F1">
      <w:pPr>
        <w:pStyle w:val="Default"/>
        <w:jc w:val="both"/>
        <w:rPr>
          <w:sz w:val="20"/>
          <w:szCs w:val="20"/>
        </w:rPr>
      </w:pPr>
      <w:r>
        <w:rPr>
          <w:sz w:val="20"/>
          <w:szCs w:val="20"/>
        </w:rPr>
        <w:t>References are</w:t>
      </w:r>
      <w:r w:rsidR="009B1D94">
        <w:rPr>
          <w:sz w:val="20"/>
          <w:szCs w:val="20"/>
        </w:rPr>
        <w:t xml:space="preserve"> made </w:t>
      </w:r>
      <w:r w:rsidR="003332E1">
        <w:rPr>
          <w:sz w:val="20"/>
          <w:szCs w:val="20"/>
        </w:rPr>
        <w:t xml:space="preserve">below </w:t>
      </w:r>
      <w:r w:rsidR="009B1D94">
        <w:rPr>
          <w:sz w:val="20"/>
          <w:szCs w:val="20"/>
        </w:rPr>
        <w:t>to the IRBA Code of Professional Conduct (</w:t>
      </w:r>
      <w:r w:rsidR="00857B63">
        <w:rPr>
          <w:sz w:val="20"/>
          <w:szCs w:val="20"/>
        </w:rPr>
        <w:t xml:space="preserve">IRBA </w:t>
      </w:r>
      <w:r w:rsidR="009B1D94">
        <w:rPr>
          <w:sz w:val="20"/>
          <w:szCs w:val="20"/>
        </w:rPr>
        <w:t>Code)</w:t>
      </w:r>
      <w:r w:rsidR="008161AF">
        <w:rPr>
          <w:sz w:val="20"/>
          <w:szCs w:val="20"/>
        </w:rPr>
        <w:t xml:space="preserve"> </w:t>
      </w:r>
      <w:r>
        <w:rPr>
          <w:sz w:val="20"/>
          <w:szCs w:val="20"/>
        </w:rPr>
        <w:t>and include</w:t>
      </w:r>
      <w:r w:rsidR="008161AF">
        <w:rPr>
          <w:sz w:val="20"/>
          <w:szCs w:val="20"/>
        </w:rPr>
        <w:t xml:space="preserve"> prohibitions for non-public interest entities</w:t>
      </w:r>
      <w:r w:rsidR="009D48E4">
        <w:rPr>
          <w:sz w:val="20"/>
          <w:szCs w:val="20"/>
        </w:rPr>
        <w:t xml:space="preserve"> that apply to all registered auditors</w:t>
      </w:r>
      <w:r w:rsidR="009B1D94">
        <w:rPr>
          <w:sz w:val="20"/>
          <w:szCs w:val="20"/>
        </w:rPr>
        <w:t>.</w:t>
      </w:r>
    </w:p>
    <w:p w:rsidR="00857B63" w:rsidRPr="00E811BB" w:rsidRDefault="00857B63" w:rsidP="007348F1">
      <w:pPr>
        <w:pStyle w:val="Default"/>
        <w:jc w:val="both"/>
        <w:rPr>
          <w:sz w:val="20"/>
          <w:szCs w:val="20"/>
        </w:rPr>
      </w:pPr>
    </w:p>
    <w:p w:rsidR="00070673" w:rsidRPr="00E811BB" w:rsidRDefault="003332E1" w:rsidP="007348F1">
      <w:pPr>
        <w:pStyle w:val="Default"/>
        <w:jc w:val="both"/>
        <w:rPr>
          <w:sz w:val="20"/>
          <w:szCs w:val="20"/>
        </w:rPr>
      </w:pPr>
      <w:r>
        <w:rPr>
          <w:sz w:val="20"/>
          <w:szCs w:val="20"/>
        </w:rPr>
        <w:t>Even if</w:t>
      </w:r>
      <w:r w:rsidRPr="009B1D94">
        <w:rPr>
          <w:sz w:val="20"/>
          <w:szCs w:val="20"/>
        </w:rPr>
        <w:t xml:space="preserve"> </w:t>
      </w:r>
      <w:r w:rsidR="00070673" w:rsidRPr="009B1D94">
        <w:rPr>
          <w:sz w:val="20"/>
          <w:szCs w:val="20"/>
        </w:rPr>
        <w:t xml:space="preserve">a </w:t>
      </w:r>
      <w:r>
        <w:rPr>
          <w:sz w:val="20"/>
          <w:szCs w:val="20"/>
        </w:rPr>
        <w:t xml:space="preserve">proposed </w:t>
      </w:r>
      <w:r w:rsidR="00070673" w:rsidRPr="009B1D94">
        <w:rPr>
          <w:sz w:val="20"/>
          <w:szCs w:val="20"/>
        </w:rPr>
        <w:t xml:space="preserve">service, interest, or relationship is not covered by one of the prohibitions below, the </w:t>
      </w:r>
      <w:r w:rsidR="00910FD8">
        <w:rPr>
          <w:sz w:val="20"/>
          <w:szCs w:val="20"/>
        </w:rPr>
        <w:t>registered auditor</w:t>
      </w:r>
      <w:r w:rsidR="00070673" w:rsidRPr="009B1D94">
        <w:rPr>
          <w:sz w:val="20"/>
          <w:szCs w:val="20"/>
        </w:rPr>
        <w:t xml:space="preserve"> is required to apply the </w:t>
      </w:r>
      <w:r w:rsidR="00070673" w:rsidRPr="009B1D94">
        <w:rPr>
          <w:i/>
          <w:iCs/>
          <w:sz w:val="20"/>
          <w:szCs w:val="20"/>
        </w:rPr>
        <w:t xml:space="preserve">conceptual framework </w:t>
      </w:r>
      <w:r w:rsidR="00070673" w:rsidRPr="009B1D94">
        <w:rPr>
          <w:sz w:val="20"/>
          <w:szCs w:val="20"/>
        </w:rPr>
        <w:t xml:space="preserve">set out in the </w:t>
      </w:r>
      <w:r w:rsidR="009B1D94" w:rsidRPr="009B1D94">
        <w:rPr>
          <w:sz w:val="20"/>
          <w:szCs w:val="20"/>
        </w:rPr>
        <w:t>IRBA</w:t>
      </w:r>
      <w:r w:rsidR="00070673" w:rsidRPr="009B1D94">
        <w:rPr>
          <w:sz w:val="20"/>
          <w:szCs w:val="20"/>
        </w:rPr>
        <w:t xml:space="preserve"> Code to evaluate </w:t>
      </w:r>
      <w:r>
        <w:rPr>
          <w:sz w:val="20"/>
          <w:szCs w:val="20"/>
        </w:rPr>
        <w:t>the threats to independence</w:t>
      </w:r>
      <w:r w:rsidR="00070673" w:rsidRPr="009B1D94">
        <w:rPr>
          <w:sz w:val="20"/>
          <w:szCs w:val="20"/>
        </w:rPr>
        <w:t xml:space="preserve">. The conceptual framework entails a rigorous analysis of the service, interest, or relationship from the perspective of a reasonable and informed third party to determine whether it is permissible </w:t>
      </w:r>
      <w:r w:rsidR="009D48E4">
        <w:rPr>
          <w:sz w:val="20"/>
          <w:szCs w:val="20"/>
        </w:rPr>
        <w:t xml:space="preserve">to accept </w:t>
      </w:r>
      <w:r>
        <w:rPr>
          <w:sz w:val="20"/>
          <w:szCs w:val="20"/>
        </w:rPr>
        <w:t xml:space="preserve">such an </w:t>
      </w:r>
      <w:r w:rsidR="009D48E4">
        <w:rPr>
          <w:sz w:val="20"/>
          <w:szCs w:val="20"/>
        </w:rPr>
        <w:t>engagement</w:t>
      </w:r>
      <w:r>
        <w:rPr>
          <w:sz w:val="20"/>
          <w:szCs w:val="20"/>
        </w:rPr>
        <w:t xml:space="preserve"> because there are no such independence threats or because appropriate safeguards can be implemented</w:t>
      </w:r>
      <w:r w:rsidR="00070673" w:rsidRPr="009B1D94">
        <w:rPr>
          <w:sz w:val="20"/>
          <w:szCs w:val="20"/>
        </w:rPr>
        <w:t>.</w:t>
      </w:r>
      <w:r w:rsidR="00070673" w:rsidRPr="00E811BB">
        <w:rPr>
          <w:sz w:val="20"/>
          <w:szCs w:val="20"/>
        </w:rPr>
        <w:t xml:space="preserve"> </w:t>
      </w:r>
    </w:p>
    <w:p w:rsidR="00070673" w:rsidRPr="00CA0F5C" w:rsidRDefault="00070673" w:rsidP="00070673">
      <w:pPr>
        <w:pStyle w:val="Default"/>
        <w:rPr>
          <w:sz w:val="20"/>
          <w:szCs w:val="20"/>
        </w:rPr>
      </w:pPr>
    </w:p>
    <w:tbl>
      <w:tblPr>
        <w:tblStyle w:val="TableGrid"/>
        <w:tblW w:w="0" w:type="auto"/>
        <w:jc w:val="center"/>
        <w:tblLook w:val="04A0" w:firstRow="1" w:lastRow="0" w:firstColumn="1" w:lastColumn="0" w:noHBand="0" w:noVBand="1"/>
      </w:tblPr>
      <w:tblGrid>
        <w:gridCol w:w="4711"/>
        <w:gridCol w:w="2343"/>
        <w:gridCol w:w="1836"/>
        <w:gridCol w:w="1957"/>
      </w:tblGrid>
      <w:tr w:rsidR="00B17A7C" w:rsidRPr="00CA0F5C" w:rsidTr="007348F1">
        <w:trPr>
          <w:jc w:val="center"/>
        </w:trPr>
        <w:tc>
          <w:tcPr>
            <w:tcW w:w="4711" w:type="dxa"/>
            <w:shd w:val="clear" w:color="auto" w:fill="F2F2F2" w:themeFill="background1" w:themeFillShade="F2"/>
          </w:tcPr>
          <w:p w:rsidR="00B17A7C" w:rsidRPr="00E811BB" w:rsidRDefault="00B17A7C" w:rsidP="00070673">
            <w:pPr>
              <w:pStyle w:val="Default"/>
              <w:rPr>
                <w:sz w:val="20"/>
                <w:szCs w:val="20"/>
              </w:rPr>
            </w:pPr>
            <w:r w:rsidRPr="00E811BB">
              <w:rPr>
                <w:b/>
                <w:bCs/>
                <w:iCs/>
                <w:sz w:val="20"/>
                <w:szCs w:val="20"/>
              </w:rPr>
              <w:t xml:space="preserve">PROHIBITED NON-ASSURANCE SERVICES </w:t>
            </w:r>
          </w:p>
          <w:p w:rsidR="00B17A7C" w:rsidRPr="00E811BB" w:rsidRDefault="00B17A7C" w:rsidP="00490871">
            <w:pPr>
              <w:pStyle w:val="Default"/>
              <w:rPr>
                <w:sz w:val="20"/>
                <w:szCs w:val="20"/>
              </w:rPr>
            </w:pPr>
          </w:p>
        </w:tc>
        <w:tc>
          <w:tcPr>
            <w:tcW w:w="2343" w:type="dxa"/>
            <w:shd w:val="clear" w:color="auto" w:fill="F2F2F2" w:themeFill="background1" w:themeFillShade="F2"/>
          </w:tcPr>
          <w:p w:rsidR="009D48E4" w:rsidRDefault="00910FD8" w:rsidP="00910FD8">
            <w:pPr>
              <w:pStyle w:val="Default"/>
              <w:rPr>
                <w:b/>
                <w:bCs/>
                <w:iCs/>
                <w:sz w:val="20"/>
                <w:szCs w:val="20"/>
              </w:rPr>
            </w:pPr>
            <w:r>
              <w:rPr>
                <w:b/>
                <w:bCs/>
                <w:iCs/>
                <w:sz w:val="20"/>
                <w:szCs w:val="20"/>
              </w:rPr>
              <w:t xml:space="preserve">IRBA </w:t>
            </w:r>
            <w:r w:rsidR="009D48E4">
              <w:rPr>
                <w:b/>
                <w:bCs/>
                <w:iCs/>
                <w:sz w:val="20"/>
                <w:szCs w:val="20"/>
              </w:rPr>
              <w:t xml:space="preserve">Code: </w:t>
            </w:r>
          </w:p>
          <w:p w:rsidR="00B17A7C" w:rsidRPr="00E811BB" w:rsidRDefault="009D48E4" w:rsidP="00910FD8">
            <w:pPr>
              <w:pStyle w:val="Default"/>
              <w:rPr>
                <w:b/>
                <w:sz w:val="20"/>
                <w:szCs w:val="20"/>
              </w:rPr>
            </w:pPr>
            <w:r>
              <w:rPr>
                <w:b/>
                <w:bCs/>
                <w:iCs/>
                <w:sz w:val="20"/>
                <w:szCs w:val="20"/>
              </w:rPr>
              <w:t xml:space="preserve">Relevant Section </w:t>
            </w:r>
            <w:r w:rsidRPr="00E811BB">
              <w:rPr>
                <w:b/>
                <w:bCs/>
                <w:iCs/>
                <w:sz w:val="20"/>
                <w:szCs w:val="20"/>
              </w:rPr>
              <w:t xml:space="preserve"> </w:t>
            </w:r>
          </w:p>
        </w:tc>
        <w:tc>
          <w:tcPr>
            <w:tcW w:w="1836" w:type="dxa"/>
            <w:shd w:val="clear" w:color="auto" w:fill="F2F2F2" w:themeFill="background1" w:themeFillShade="F2"/>
          </w:tcPr>
          <w:p w:rsidR="00B17A7C" w:rsidRPr="008161AF" w:rsidRDefault="00910FD8" w:rsidP="00070673">
            <w:pPr>
              <w:pStyle w:val="Default"/>
              <w:rPr>
                <w:b/>
                <w:bCs/>
                <w:iCs/>
                <w:sz w:val="20"/>
                <w:szCs w:val="20"/>
              </w:rPr>
            </w:pPr>
            <w:r w:rsidRPr="008161AF">
              <w:rPr>
                <w:b/>
                <w:bCs/>
                <w:iCs/>
                <w:sz w:val="20"/>
                <w:szCs w:val="20"/>
              </w:rPr>
              <w:t>Applicable To Public Interest Entities</w:t>
            </w:r>
          </w:p>
        </w:tc>
        <w:tc>
          <w:tcPr>
            <w:tcW w:w="1957" w:type="dxa"/>
            <w:shd w:val="clear" w:color="auto" w:fill="F2F2F2" w:themeFill="background1" w:themeFillShade="F2"/>
          </w:tcPr>
          <w:p w:rsidR="00B17A7C" w:rsidRPr="008161AF" w:rsidRDefault="00910FD8" w:rsidP="00070673">
            <w:pPr>
              <w:pStyle w:val="Default"/>
              <w:rPr>
                <w:b/>
                <w:bCs/>
                <w:iCs/>
                <w:sz w:val="20"/>
                <w:szCs w:val="20"/>
              </w:rPr>
            </w:pPr>
            <w:r w:rsidRPr="008161AF">
              <w:rPr>
                <w:b/>
                <w:bCs/>
                <w:iCs/>
                <w:sz w:val="20"/>
                <w:szCs w:val="20"/>
              </w:rPr>
              <w:t>Applicable To Non-Public Interest Entities</w:t>
            </w:r>
          </w:p>
        </w:tc>
      </w:tr>
      <w:tr w:rsidR="009D48E4" w:rsidRPr="00CA0F5C" w:rsidTr="007348F1">
        <w:trPr>
          <w:jc w:val="center"/>
        </w:trPr>
        <w:tc>
          <w:tcPr>
            <w:tcW w:w="10847" w:type="dxa"/>
            <w:gridSpan w:val="4"/>
            <w:shd w:val="clear" w:color="auto" w:fill="F2F2F2" w:themeFill="background1" w:themeFillShade="F2"/>
            <w:vAlign w:val="center"/>
          </w:tcPr>
          <w:p w:rsidR="009D48E4" w:rsidRPr="00CA0F5C" w:rsidRDefault="009D48E4" w:rsidP="009D48E4">
            <w:pPr>
              <w:pStyle w:val="Default"/>
              <w:rPr>
                <w:sz w:val="20"/>
                <w:szCs w:val="20"/>
              </w:rPr>
            </w:pPr>
            <w:r w:rsidRPr="00CA0F5C">
              <w:rPr>
                <w:b/>
                <w:i/>
                <w:iCs/>
                <w:sz w:val="20"/>
                <w:szCs w:val="20"/>
              </w:rPr>
              <w:t xml:space="preserve">Prohibited Without Regard to Materiality </w:t>
            </w:r>
          </w:p>
        </w:tc>
      </w:tr>
      <w:tr w:rsidR="00B17A7C" w:rsidRPr="00CA0F5C" w:rsidTr="007348F1">
        <w:trPr>
          <w:jc w:val="center"/>
        </w:trPr>
        <w:tc>
          <w:tcPr>
            <w:tcW w:w="4711" w:type="dxa"/>
          </w:tcPr>
          <w:p w:rsidR="00B17A7C" w:rsidRPr="00CA0F5C" w:rsidRDefault="00B17A7C" w:rsidP="00070673">
            <w:pPr>
              <w:pStyle w:val="Default"/>
              <w:rPr>
                <w:sz w:val="20"/>
                <w:szCs w:val="20"/>
              </w:rPr>
            </w:pPr>
            <w:r w:rsidRPr="00CA0F5C">
              <w:rPr>
                <w:sz w:val="20"/>
                <w:szCs w:val="20"/>
              </w:rPr>
              <w:t xml:space="preserve">• Assuming a management responsibility. </w:t>
            </w:r>
          </w:p>
        </w:tc>
        <w:tc>
          <w:tcPr>
            <w:tcW w:w="2343" w:type="dxa"/>
            <w:vAlign w:val="center"/>
          </w:tcPr>
          <w:p w:rsidR="00B17A7C" w:rsidRPr="00CA0F5C" w:rsidRDefault="00B17A7C" w:rsidP="00A9444F">
            <w:pPr>
              <w:pStyle w:val="Default"/>
              <w:jc w:val="center"/>
              <w:rPr>
                <w:b/>
                <w:sz w:val="20"/>
                <w:szCs w:val="20"/>
              </w:rPr>
            </w:pPr>
            <w:r w:rsidRPr="00CA0F5C">
              <w:rPr>
                <w:b/>
                <w:sz w:val="20"/>
                <w:szCs w:val="20"/>
              </w:rPr>
              <w:t>290.165</w:t>
            </w:r>
          </w:p>
        </w:tc>
        <w:tc>
          <w:tcPr>
            <w:tcW w:w="1836" w:type="dxa"/>
            <w:shd w:val="clear" w:color="auto" w:fill="FFFFFF" w:themeFill="background1"/>
          </w:tcPr>
          <w:p w:rsidR="00B17A7C" w:rsidRPr="00B17A7C" w:rsidRDefault="00B17A7C" w:rsidP="00490871">
            <w:pPr>
              <w:pStyle w:val="Default"/>
              <w:jc w:val="center"/>
              <w:rPr>
                <w:b/>
                <w:sz w:val="22"/>
                <w:szCs w:val="22"/>
              </w:rPr>
            </w:pPr>
            <w:r w:rsidRPr="00B17A7C">
              <w:rPr>
                <w:rFonts w:ascii="Marlett" w:hAnsi="Marlett"/>
                <w:b/>
                <w:sz w:val="22"/>
                <w:szCs w:val="22"/>
              </w:rPr>
              <w:t></w:t>
            </w:r>
          </w:p>
        </w:tc>
        <w:tc>
          <w:tcPr>
            <w:tcW w:w="1957" w:type="dxa"/>
            <w:shd w:val="clear" w:color="auto" w:fill="FFFFFF" w:themeFill="background1"/>
          </w:tcPr>
          <w:p w:rsidR="00B17A7C" w:rsidRPr="00B17A7C" w:rsidRDefault="00B17A7C" w:rsidP="00490871">
            <w:pPr>
              <w:pStyle w:val="Default"/>
              <w:jc w:val="center"/>
              <w:rPr>
                <w:b/>
                <w:sz w:val="22"/>
                <w:szCs w:val="22"/>
              </w:rPr>
            </w:pPr>
            <w:r w:rsidRPr="00B17A7C">
              <w:rPr>
                <w:rFonts w:ascii="Marlett" w:hAnsi="Marlett"/>
                <w:b/>
                <w:sz w:val="22"/>
                <w:szCs w:val="22"/>
              </w:rPr>
              <w:t></w:t>
            </w:r>
          </w:p>
        </w:tc>
      </w:tr>
      <w:tr w:rsidR="00B17A7C" w:rsidRPr="00CA0F5C" w:rsidTr="007348F1">
        <w:trPr>
          <w:jc w:val="center"/>
        </w:trPr>
        <w:tc>
          <w:tcPr>
            <w:tcW w:w="4711" w:type="dxa"/>
          </w:tcPr>
          <w:p w:rsidR="00B17A7C" w:rsidRPr="00CA0F5C" w:rsidRDefault="00B17A7C" w:rsidP="009D48E4">
            <w:pPr>
              <w:pStyle w:val="Default"/>
              <w:rPr>
                <w:sz w:val="20"/>
                <w:szCs w:val="20"/>
              </w:rPr>
            </w:pPr>
            <w:r>
              <w:rPr>
                <w:sz w:val="20"/>
                <w:szCs w:val="20"/>
              </w:rPr>
              <w:t>• Accounting services</w:t>
            </w:r>
            <w:r w:rsidR="009D48E4">
              <w:rPr>
                <w:sz w:val="20"/>
                <w:szCs w:val="20"/>
              </w:rPr>
              <w:t xml:space="preserve"> (Note 1)</w:t>
            </w:r>
          </w:p>
        </w:tc>
        <w:tc>
          <w:tcPr>
            <w:tcW w:w="2343" w:type="dxa"/>
            <w:vMerge w:val="restart"/>
            <w:vAlign w:val="center"/>
          </w:tcPr>
          <w:p w:rsidR="00B17A7C" w:rsidRPr="00CA0F5C" w:rsidRDefault="00B17A7C" w:rsidP="00A9444F">
            <w:pPr>
              <w:pStyle w:val="Default"/>
              <w:jc w:val="center"/>
              <w:rPr>
                <w:b/>
                <w:sz w:val="20"/>
                <w:szCs w:val="20"/>
              </w:rPr>
            </w:pPr>
          </w:p>
          <w:p w:rsidR="00B17A7C" w:rsidRPr="00CA0F5C" w:rsidRDefault="00B17A7C" w:rsidP="00A9444F">
            <w:pPr>
              <w:pStyle w:val="Default"/>
              <w:jc w:val="center"/>
              <w:rPr>
                <w:b/>
                <w:sz w:val="20"/>
                <w:szCs w:val="20"/>
              </w:rPr>
            </w:pPr>
            <w:r w:rsidRPr="00CA0F5C">
              <w:rPr>
                <w:b/>
                <w:sz w:val="20"/>
                <w:szCs w:val="20"/>
              </w:rPr>
              <w:t>290.172</w:t>
            </w:r>
            <w:r w:rsidR="00B155BB" w:rsidRPr="00CA0F5C">
              <w:rPr>
                <w:b/>
                <w:sz w:val="20"/>
                <w:szCs w:val="20"/>
              </w:rPr>
              <w:t>;</w:t>
            </w:r>
            <w:r w:rsidRPr="00CA0F5C">
              <w:rPr>
                <w:b/>
                <w:sz w:val="20"/>
                <w:szCs w:val="20"/>
              </w:rPr>
              <w:t xml:space="preserve"> </w:t>
            </w:r>
          </w:p>
          <w:p w:rsidR="00B17A7C" w:rsidRDefault="00B17A7C" w:rsidP="00A9444F">
            <w:pPr>
              <w:pStyle w:val="Default"/>
              <w:jc w:val="center"/>
              <w:rPr>
                <w:b/>
                <w:sz w:val="20"/>
                <w:szCs w:val="20"/>
              </w:rPr>
            </w:pPr>
            <w:r w:rsidRPr="00CA0F5C">
              <w:rPr>
                <w:b/>
                <w:sz w:val="20"/>
                <w:szCs w:val="20"/>
              </w:rPr>
              <w:t>290.173</w:t>
            </w:r>
            <w:r w:rsidR="00B155BB" w:rsidRPr="00CA0F5C">
              <w:rPr>
                <w:b/>
                <w:sz w:val="20"/>
                <w:szCs w:val="20"/>
              </w:rPr>
              <w:t>&amp;</w:t>
            </w:r>
          </w:p>
          <w:p w:rsidR="00B155BB" w:rsidRPr="00CA0F5C" w:rsidRDefault="00B155BB" w:rsidP="00A9444F">
            <w:pPr>
              <w:pStyle w:val="Default"/>
              <w:jc w:val="center"/>
              <w:rPr>
                <w:b/>
                <w:sz w:val="20"/>
                <w:szCs w:val="20"/>
              </w:rPr>
            </w:pPr>
            <w:r>
              <w:rPr>
                <w:b/>
                <w:sz w:val="20"/>
                <w:szCs w:val="20"/>
              </w:rPr>
              <w:t>290.174</w:t>
            </w:r>
          </w:p>
        </w:tc>
        <w:tc>
          <w:tcPr>
            <w:tcW w:w="1836" w:type="dxa"/>
            <w:vMerge w:val="restart"/>
            <w:shd w:val="clear" w:color="auto" w:fill="FFFFFF" w:themeFill="background1"/>
            <w:vAlign w:val="center"/>
          </w:tcPr>
          <w:p w:rsidR="00B17A7C" w:rsidRPr="00B17A7C" w:rsidRDefault="00B17A7C" w:rsidP="00B17A7C">
            <w:pPr>
              <w:pStyle w:val="Default"/>
              <w:jc w:val="center"/>
              <w:rPr>
                <w:b/>
                <w:sz w:val="22"/>
                <w:szCs w:val="22"/>
              </w:rPr>
            </w:pPr>
            <w:r w:rsidRPr="00B17A7C">
              <w:rPr>
                <w:rFonts w:ascii="Marlett" w:hAnsi="Marlett"/>
                <w:b/>
                <w:sz w:val="22"/>
                <w:szCs w:val="22"/>
              </w:rPr>
              <w:t></w:t>
            </w:r>
          </w:p>
        </w:tc>
        <w:tc>
          <w:tcPr>
            <w:tcW w:w="1957" w:type="dxa"/>
            <w:vMerge w:val="restart"/>
            <w:shd w:val="clear" w:color="auto" w:fill="FFFFFF" w:themeFill="background1"/>
            <w:vAlign w:val="center"/>
          </w:tcPr>
          <w:p w:rsidR="00B17A7C" w:rsidRPr="00910FD8" w:rsidRDefault="005C2BF9" w:rsidP="005C2BF9">
            <w:pPr>
              <w:pStyle w:val="Default"/>
              <w:jc w:val="center"/>
              <w:rPr>
                <w:b/>
                <w:sz w:val="20"/>
                <w:szCs w:val="20"/>
              </w:rPr>
            </w:pPr>
            <w:r w:rsidRPr="00910FD8">
              <w:rPr>
                <w:b/>
                <w:sz w:val="20"/>
                <w:szCs w:val="20"/>
              </w:rPr>
              <w:t>Please consider S90(2) Companies Act, 71 of 2008 requirements</w:t>
            </w:r>
          </w:p>
        </w:tc>
      </w:tr>
      <w:tr w:rsidR="00B17A7C" w:rsidRPr="00CA0F5C" w:rsidTr="007348F1">
        <w:trPr>
          <w:jc w:val="center"/>
        </w:trPr>
        <w:tc>
          <w:tcPr>
            <w:tcW w:w="4711" w:type="dxa"/>
          </w:tcPr>
          <w:p w:rsidR="00B17A7C" w:rsidRPr="00043094" w:rsidRDefault="00B17A7C" w:rsidP="00070673">
            <w:pPr>
              <w:pStyle w:val="Default"/>
              <w:rPr>
                <w:sz w:val="20"/>
                <w:szCs w:val="20"/>
                <w:vertAlign w:val="superscript"/>
              </w:rPr>
            </w:pPr>
            <w:r>
              <w:rPr>
                <w:sz w:val="20"/>
                <w:szCs w:val="20"/>
              </w:rPr>
              <w:t>• Bookkeeping services</w:t>
            </w:r>
            <w:r w:rsidR="009D48E4">
              <w:rPr>
                <w:sz w:val="20"/>
                <w:szCs w:val="20"/>
              </w:rPr>
              <w:t xml:space="preserve"> (Note 1)</w:t>
            </w:r>
          </w:p>
        </w:tc>
        <w:tc>
          <w:tcPr>
            <w:tcW w:w="2343" w:type="dxa"/>
            <w:vMerge/>
            <w:vAlign w:val="center"/>
          </w:tcPr>
          <w:p w:rsidR="00B17A7C" w:rsidRPr="00CA0F5C" w:rsidRDefault="00B17A7C" w:rsidP="00A9444F">
            <w:pPr>
              <w:pStyle w:val="Default"/>
              <w:jc w:val="center"/>
              <w:rPr>
                <w:b/>
                <w:sz w:val="20"/>
                <w:szCs w:val="20"/>
              </w:rPr>
            </w:pPr>
          </w:p>
        </w:tc>
        <w:tc>
          <w:tcPr>
            <w:tcW w:w="1836" w:type="dxa"/>
            <w:vMerge/>
            <w:shd w:val="clear" w:color="auto" w:fill="FFFFFF" w:themeFill="background1"/>
            <w:vAlign w:val="center"/>
          </w:tcPr>
          <w:p w:rsidR="00B17A7C" w:rsidRPr="00B17A7C" w:rsidRDefault="00B17A7C" w:rsidP="00A9444F">
            <w:pPr>
              <w:pStyle w:val="Default"/>
              <w:jc w:val="center"/>
              <w:rPr>
                <w:rFonts w:ascii="Marlett" w:hAnsi="Marlett"/>
                <w:b/>
                <w:sz w:val="22"/>
                <w:szCs w:val="22"/>
              </w:rPr>
            </w:pPr>
          </w:p>
        </w:tc>
        <w:tc>
          <w:tcPr>
            <w:tcW w:w="1957" w:type="dxa"/>
            <w:vMerge/>
            <w:shd w:val="clear" w:color="auto" w:fill="FFFFFF" w:themeFill="background1"/>
          </w:tcPr>
          <w:p w:rsidR="00B17A7C" w:rsidRPr="00B17A7C" w:rsidRDefault="00B17A7C" w:rsidP="00A9444F">
            <w:pPr>
              <w:pStyle w:val="Default"/>
              <w:jc w:val="center"/>
              <w:rPr>
                <w:rFonts w:ascii="Marlett" w:hAnsi="Marlett"/>
                <w:b/>
                <w:sz w:val="22"/>
                <w:szCs w:val="22"/>
              </w:rPr>
            </w:pPr>
          </w:p>
        </w:tc>
      </w:tr>
      <w:tr w:rsidR="00B17A7C" w:rsidRPr="00CA0F5C" w:rsidTr="007348F1">
        <w:trPr>
          <w:jc w:val="center"/>
        </w:trPr>
        <w:tc>
          <w:tcPr>
            <w:tcW w:w="4711" w:type="dxa"/>
          </w:tcPr>
          <w:p w:rsidR="00B17A7C" w:rsidRPr="00CA0F5C" w:rsidRDefault="00B17A7C" w:rsidP="00043094">
            <w:pPr>
              <w:pStyle w:val="Default"/>
              <w:rPr>
                <w:sz w:val="20"/>
                <w:szCs w:val="20"/>
              </w:rPr>
            </w:pPr>
            <w:r>
              <w:rPr>
                <w:sz w:val="20"/>
                <w:szCs w:val="20"/>
              </w:rPr>
              <w:t>• Payroll services</w:t>
            </w:r>
            <w:r w:rsidR="009D48E4">
              <w:rPr>
                <w:sz w:val="20"/>
                <w:szCs w:val="20"/>
              </w:rPr>
              <w:t xml:space="preserve"> (Note 1)</w:t>
            </w:r>
          </w:p>
        </w:tc>
        <w:tc>
          <w:tcPr>
            <w:tcW w:w="2343" w:type="dxa"/>
            <w:vMerge/>
            <w:vAlign w:val="center"/>
          </w:tcPr>
          <w:p w:rsidR="00B17A7C" w:rsidRPr="00CA0F5C" w:rsidRDefault="00B17A7C" w:rsidP="00A9444F">
            <w:pPr>
              <w:pStyle w:val="Default"/>
              <w:jc w:val="center"/>
              <w:rPr>
                <w:b/>
                <w:sz w:val="20"/>
                <w:szCs w:val="20"/>
              </w:rPr>
            </w:pPr>
          </w:p>
        </w:tc>
        <w:tc>
          <w:tcPr>
            <w:tcW w:w="1836" w:type="dxa"/>
            <w:vMerge/>
            <w:shd w:val="clear" w:color="auto" w:fill="FFFFFF" w:themeFill="background1"/>
            <w:vAlign w:val="center"/>
          </w:tcPr>
          <w:p w:rsidR="00B17A7C" w:rsidRPr="00B17A7C" w:rsidRDefault="00B17A7C" w:rsidP="00A9444F">
            <w:pPr>
              <w:pStyle w:val="Default"/>
              <w:jc w:val="center"/>
              <w:rPr>
                <w:rFonts w:ascii="Marlett" w:hAnsi="Marlett"/>
                <w:b/>
                <w:sz w:val="22"/>
                <w:szCs w:val="22"/>
              </w:rPr>
            </w:pPr>
          </w:p>
        </w:tc>
        <w:tc>
          <w:tcPr>
            <w:tcW w:w="1957" w:type="dxa"/>
            <w:vMerge/>
            <w:shd w:val="clear" w:color="auto" w:fill="FFFFFF" w:themeFill="background1"/>
          </w:tcPr>
          <w:p w:rsidR="00B17A7C" w:rsidRPr="00B17A7C" w:rsidRDefault="00B17A7C" w:rsidP="00A9444F">
            <w:pPr>
              <w:pStyle w:val="Default"/>
              <w:jc w:val="center"/>
              <w:rPr>
                <w:rFonts w:ascii="Marlett" w:hAnsi="Marlett"/>
                <w:b/>
                <w:sz w:val="22"/>
                <w:szCs w:val="22"/>
              </w:rPr>
            </w:pPr>
          </w:p>
        </w:tc>
      </w:tr>
      <w:tr w:rsidR="00B17A7C" w:rsidRPr="00CA0F5C" w:rsidTr="007348F1">
        <w:trPr>
          <w:jc w:val="center"/>
        </w:trPr>
        <w:tc>
          <w:tcPr>
            <w:tcW w:w="4711" w:type="dxa"/>
          </w:tcPr>
          <w:p w:rsidR="00B17A7C" w:rsidRPr="00CA0F5C" w:rsidRDefault="00B17A7C" w:rsidP="00070673">
            <w:pPr>
              <w:pStyle w:val="Default"/>
              <w:rPr>
                <w:sz w:val="20"/>
                <w:szCs w:val="20"/>
              </w:rPr>
            </w:pPr>
            <w:r w:rsidRPr="00CA0F5C">
              <w:rPr>
                <w:sz w:val="20"/>
                <w:szCs w:val="20"/>
              </w:rPr>
              <w:t>• Preparing the financial statements and related financial information.</w:t>
            </w:r>
            <w:r w:rsidR="00B155BB">
              <w:rPr>
                <w:sz w:val="20"/>
                <w:szCs w:val="20"/>
              </w:rPr>
              <w:t xml:space="preserve"> (Note 1)</w:t>
            </w:r>
          </w:p>
        </w:tc>
        <w:tc>
          <w:tcPr>
            <w:tcW w:w="2343" w:type="dxa"/>
            <w:vMerge/>
            <w:vAlign w:val="center"/>
          </w:tcPr>
          <w:p w:rsidR="00B17A7C" w:rsidRPr="00CA0F5C" w:rsidRDefault="00B17A7C" w:rsidP="00A9444F">
            <w:pPr>
              <w:pStyle w:val="Default"/>
              <w:jc w:val="center"/>
              <w:rPr>
                <w:b/>
                <w:sz w:val="20"/>
                <w:szCs w:val="20"/>
              </w:rPr>
            </w:pPr>
          </w:p>
        </w:tc>
        <w:tc>
          <w:tcPr>
            <w:tcW w:w="1836" w:type="dxa"/>
            <w:vMerge/>
            <w:shd w:val="clear" w:color="auto" w:fill="FFFFFF" w:themeFill="background1"/>
            <w:vAlign w:val="center"/>
          </w:tcPr>
          <w:p w:rsidR="00B17A7C" w:rsidRPr="00B17A7C" w:rsidRDefault="00B17A7C" w:rsidP="00A9444F">
            <w:pPr>
              <w:pStyle w:val="Default"/>
              <w:jc w:val="center"/>
              <w:rPr>
                <w:rFonts w:ascii="Marlett" w:hAnsi="Marlett"/>
                <w:b/>
                <w:sz w:val="22"/>
                <w:szCs w:val="22"/>
              </w:rPr>
            </w:pPr>
          </w:p>
        </w:tc>
        <w:tc>
          <w:tcPr>
            <w:tcW w:w="1957" w:type="dxa"/>
            <w:vMerge/>
            <w:shd w:val="clear" w:color="auto" w:fill="FFFFFF" w:themeFill="background1"/>
          </w:tcPr>
          <w:p w:rsidR="00B17A7C" w:rsidRPr="00B17A7C" w:rsidRDefault="00B17A7C" w:rsidP="00A9444F">
            <w:pPr>
              <w:pStyle w:val="Default"/>
              <w:jc w:val="center"/>
              <w:rPr>
                <w:rFonts w:ascii="Marlett" w:hAnsi="Marlett"/>
                <w:b/>
                <w:sz w:val="22"/>
                <w:szCs w:val="22"/>
              </w:rPr>
            </w:pPr>
          </w:p>
        </w:tc>
      </w:tr>
      <w:tr w:rsidR="00B17A7C" w:rsidRPr="00CA0F5C" w:rsidTr="007348F1">
        <w:trPr>
          <w:jc w:val="center"/>
        </w:trPr>
        <w:tc>
          <w:tcPr>
            <w:tcW w:w="4711" w:type="dxa"/>
          </w:tcPr>
          <w:p w:rsidR="00B17A7C" w:rsidRPr="00CA0F5C" w:rsidRDefault="00B17A7C" w:rsidP="00070673">
            <w:pPr>
              <w:pStyle w:val="Default"/>
              <w:rPr>
                <w:sz w:val="20"/>
                <w:szCs w:val="20"/>
              </w:rPr>
            </w:pPr>
            <w:r w:rsidRPr="00CA0F5C">
              <w:rPr>
                <w:sz w:val="20"/>
                <w:szCs w:val="20"/>
              </w:rPr>
              <w:t>• Promoting, dealing in, or underwriting client shares.</w:t>
            </w:r>
          </w:p>
        </w:tc>
        <w:tc>
          <w:tcPr>
            <w:tcW w:w="2343" w:type="dxa"/>
            <w:vAlign w:val="center"/>
          </w:tcPr>
          <w:p w:rsidR="00B17A7C" w:rsidRPr="00CA0F5C" w:rsidRDefault="00B17A7C" w:rsidP="00A9444F">
            <w:pPr>
              <w:pStyle w:val="Default"/>
              <w:jc w:val="center"/>
              <w:rPr>
                <w:b/>
                <w:sz w:val="20"/>
                <w:szCs w:val="20"/>
              </w:rPr>
            </w:pPr>
            <w:r w:rsidRPr="00CA0F5C">
              <w:rPr>
                <w:b/>
                <w:sz w:val="20"/>
                <w:szCs w:val="20"/>
              </w:rPr>
              <w:t>290.219</w:t>
            </w:r>
          </w:p>
        </w:tc>
        <w:tc>
          <w:tcPr>
            <w:tcW w:w="1836" w:type="dxa"/>
            <w:shd w:val="clear" w:color="auto" w:fill="FFFFFF" w:themeFill="background1"/>
          </w:tcPr>
          <w:p w:rsidR="00B17A7C" w:rsidRPr="00B17A7C" w:rsidRDefault="00B17A7C" w:rsidP="006B5B9C">
            <w:pPr>
              <w:pStyle w:val="Default"/>
              <w:jc w:val="center"/>
              <w:rPr>
                <w:b/>
                <w:sz w:val="22"/>
                <w:szCs w:val="22"/>
              </w:rPr>
            </w:pPr>
            <w:r w:rsidRPr="00B17A7C">
              <w:rPr>
                <w:rFonts w:ascii="Marlett" w:hAnsi="Marlett"/>
                <w:b/>
                <w:sz w:val="22"/>
                <w:szCs w:val="22"/>
              </w:rPr>
              <w:t></w:t>
            </w:r>
          </w:p>
        </w:tc>
        <w:tc>
          <w:tcPr>
            <w:tcW w:w="1957" w:type="dxa"/>
            <w:shd w:val="clear" w:color="auto" w:fill="FFFFFF" w:themeFill="background1"/>
          </w:tcPr>
          <w:p w:rsidR="00B17A7C" w:rsidRPr="00B17A7C" w:rsidRDefault="00B17A7C" w:rsidP="006B5B9C">
            <w:pPr>
              <w:pStyle w:val="Default"/>
              <w:jc w:val="center"/>
              <w:rPr>
                <w:b/>
                <w:sz w:val="22"/>
                <w:szCs w:val="22"/>
              </w:rPr>
            </w:pPr>
            <w:r w:rsidRPr="00B17A7C">
              <w:rPr>
                <w:rFonts w:ascii="Marlett" w:hAnsi="Marlett"/>
                <w:b/>
                <w:sz w:val="22"/>
                <w:szCs w:val="22"/>
              </w:rPr>
              <w:t></w:t>
            </w:r>
          </w:p>
        </w:tc>
      </w:tr>
      <w:tr w:rsidR="00B17A7C" w:rsidRPr="00CA0F5C" w:rsidTr="007348F1">
        <w:trPr>
          <w:jc w:val="center"/>
        </w:trPr>
        <w:tc>
          <w:tcPr>
            <w:tcW w:w="4711" w:type="dxa"/>
          </w:tcPr>
          <w:p w:rsidR="00B17A7C" w:rsidRPr="00CA0F5C" w:rsidRDefault="00B17A7C" w:rsidP="00070673">
            <w:pPr>
              <w:pStyle w:val="Default"/>
              <w:rPr>
                <w:sz w:val="20"/>
                <w:szCs w:val="20"/>
              </w:rPr>
            </w:pPr>
            <w:r w:rsidRPr="00CA0F5C">
              <w:rPr>
                <w:sz w:val="20"/>
                <w:szCs w:val="20"/>
              </w:rPr>
              <w:t xml:space="preserve">• Recruiting directors/officers, or senior management who will have significant influence over accounting records or financial statements. </w:t>
            </w:r>
          </w:p>
        </w:tc>
        <w:tc>
          <w:tcPr>
            <w:tcW w:w="2343" w:type="dxa"/>
            <w:vAlign w:val="center"/>
          </w:tcPr>
          <w:p w:rsidR="00B17A7C" w:rsidRPr="00CA0F5C" w:rsidRDefault="00B17A7C" w:rsidP="00A9444F">
            <w:pPr>
              <w:pStyle w:val="Default"/>
              <w:jc w:val="center"/>
              <w:rPr>
                <w:b/>
                <w:sz w:val="20"/>
                <w:szCs w:val="20"/>
              </w:rPr>
            </w:pPr>
            <w:r w:rsidRPr="00CA0F5C">
              <w:rPr>
                <w:b/>
                <w:sz w:val="20"/>
                <w:szCs w:val="20"/>
              </w:rPr>
              <w:t>290.215</w:t>
            </w:r>
          </w:p>
        </w:tc>
        <w:tc>
          <w:tcPr>
            <w:tcW w:w="1836" w:type="dxa"/>
            <w:shd w:val="clear" w:color="auto" w:fill="FFFFFF" w:themeFill="background1"/>
            <w:vAlign w:val="center"/>
          </w:tcPr>
          <w:p w:rsidR="00B17A7C" w:rsidRPr="00B17A7C" w:rsidRDefault="00B17A7C" w:rsidP="00A9444F">
            <w:pPr>
              <w:pStyle w:val="Default"/>
              <w:jc w:val="center"/>
              <w:rPr>
                <w:b/>
                <w:sz w:val="22"/>
                <w:szCs w:val="22"/>
              </w:rPr>
            </w:pPr>
            <w:r w:rsidRPr="00B17A7C">
              <w:rPr>
                <w:rFonts w:ascii="Marlett" w:hAnsi="Marlett"/>
                <w:b/>
                <w:sz w:val="22"/>
                <w:szCs w:val="22"/>
              </w:rPr>
              <w:t></w:t>
            </w:r>
          </w:p>
        </w:tc>
        <w:tc>
          <w:tcPr>
            <w:tcW w:w="1957" w:type="dxa"/>
            <w:shd w:val="clear" w:color="auto" w:fill="FFFFFF" w:themeFill="background1"/>
          </w:tcPr>
          <w:p w:rsidR="00B17A7C" w:rsidRPr="00B17A7C" w:rsidRDefault="00B17A7C" w:rsidP="00A9444F">
            <w:pPr>
              <w:pStyle w:val="Default"/>
              <w:jc w:val="center"/>
              <w:rPr>
                <w:b/>
                <w:sz w:val="22"/>
                <w:szCs w:val="22"/>
              </w:rPr>
            </w:pPr>
          </w:p>
        </w:tc>
      </w:tr>
      <w:tr w:rsidR="00B17A7C" w:rsidRPr="00CA0F5C" w:rsidTr="007348F1">
        <w:trPr>
          <w:jc w:val="center"/>
        </w:trPr>
        <w:tc>
          <w:tcPr>
            <w:tcW w:w="4711" w:type="dxa"/>
          </w:tcPr>
          <w:p w:rsidR="00B17A7C" w:rsidRPr="00CA0F5C" w:rsidRDefault="00B17A7C" w:rsidP="00070673">
            <w:pPr>
              <w:pStyle w:val="Default"/>
              <w:rPr>
                <w:sz w:val="20"/>
                <w:szCs w:val="20"/>
              </w:rPr>
            </w:pPr>
            <w:r w:rsidRPr="00CA0F5C">
              <w:rPr>
                <w:sz w:val="20"/>
                <w:szCs w:val="20"/>
              </w:rPr>
              <w:t xml:space="preserve">• Evaluating or compensating a key audit partner based on that partner’s success in selling non-assurance services to the partner’s audit client. </w:t>
            </w:r>
          </w:p>
        </w:tc>
        <w:tc>
          <w:tcPr>
            <w:tcW w:w="2343" w:type="dxa"/>
            <w:vAlign w:val="center"/>
          </w:tcPr>
          <w:p w:rsidR="00B17A7C" w:rsidRPr="00CA0F5C" w:rsidRDefault="00B17A7C" w:rsidP="00A9444F">
            <w:pPr>
              <w:pStyle w:val="Default"/>
              <w:jc w:val="center"/>
              <w:rPr>
                <w:b/>
                <w:sz w:val="20"/>
                <w:szCs w:val="20"/>
              </w:rPr>
            </w:pPr>
            <w:r w:rsidRPr="00CA0F5C">
              <w:rPr>
                <w:b/>
                <w:sz w:val="20"/>
                <w:szCs w:val="20"/>
              </w:rPr>
              <w:t>290.229</w:t>
            </w:r>
          </w:p>
        </w:tc>
        <w:tc>
          <w:tcPr>
            <w:tcW w:w="1836" w:type="dxa"/>
            <w:shd w:val="clear" w:color="auto" w:fill="FFFFFF" w:themeFill="background1"/>
          </w:tcPr>
          <w:p w:rsidR="00B17A7C" w:rsidRPr="00B17A7C" w:rsidRDefault="00B17A7C" w:rsidP="006B5B9C">
            <w:pPr>
              <w:pStyle w:val="Default"/>
              <w:jc w:val="center"/>
              <w:rPr>
                <w:b/>
                <w:sz w:val="22"/>
                <w:szCs w:val="22"/>
              </w:rPr>
            </w:pPr>
            <w:r w:rsidRPr="00B17A7C">
              <w:rPr>
                <w:rFonts w:ascii="Marlett" w:hAnsi="Marlett"/>
                <w:b/>
                <w:sz w:val="22"/>
                <w:szCs w:val="22"/>
              </w:rPr>
              <w:t></w:t>
            </w:r>
          </w:p>
        </w:tc>
        <w:tc>
          <w:tcPr>
            <w:tcW w:w="1957" w:type="dxa"/>
            <w:shd w:val="clear" w:color="auto" w:fill="FFFFFF" w:themeFill="background1"/>
          </w:tcPr>
          <w:p w:rsidR="00B17A7C" w:rsidRPr="00B17A7C" w:rsidRDefault="00B17A7C" w:rsidP="006B5B9C">
            <w:pPr>
              <w:pStyle w:val="Default"/>
              <w:jc w:val="center"/>
              <w:rPr>
                <w:b/>
                <w:sz w:val="22"/>
                <w:szCs w:val="22"/>
              </w:rPr>
            </w:pPr>
            <w:r w:rsidRPr="00B17A7C">
              <w:rPr>
                <w:rFonts w:ascii="Marlett" w:hAnsi="Marlett"/>
                <w:b/>
                <w:sz w:val="22"/>
                <w:szCs w:val="22"/>
              </w:rPr>
              <w:t></w:t>
            </w:r>
          </w:p>
        </w:tc>
      </w:tr>
      <w:tr w:rsidR="00B17A7C" w:rsidRPr="00CA0F5C" w:rsidTr="007348F1">
        <w:trPr>
          <w:jc w:val="center"/>
        </w:trPr>
        <w:tc>
          <w:tcPr>
            <w:tcW w:w="4711" w:type="dxa"/>
            <w:shd w:val="clear" w:color="auto" w:fill="auto"/>
          </w:tcPr>
          <w:p w:rsidR="00B17A7C" w:rsidRPr="00CA0F5C" w:rsidRDefault="00B17A7C" w:rsidP="00070673">
            <w:pPr>
              <w:pStyle w:val="Default"/>
              <w:rPr>
                <w:sz w:val="20"/>
                <w:szCs w:val="20"/>
              </w:rPr>
            </w:pPr>
          </w:p>
        </w:tc>
        <w:tc>
          <w:tcPr>
            <w:tcW w:w="2343" w:type="dxa"/>
            <w:shd w:val="clear" w:color="auto" w:fill="auto"/>
          </w:tcPr>
          <w:p w:rsidR="00B17A7C" w:rsidRPr="00CA0F5C" w:rsidRDefault="00B17A7C" w:rsidP="00490871">
            <w:pPr>
              <w:pStyle w:val="Default"/>
              <w:jc w:val="center"/>
              <w:rPr>
                <w:b/>
                <w:sz w:val="20"/>
                <w:szCs w:val="20"/>
              </w:rPr>
            </w:pPr>
          </w:p>
        </w:tc>
        <w:tc>
          <w:tcPr>
            <w:tcW w:w="1836" w:type="dxa"/>
            <w:shd w:val="clear" w:color="auto" w:fill="FFFFFF" w:themeFill="background1"/>
            <w:vAlign w:val="center"/>
          </w:tcPr>
          <w:p w:rsidR="00B17A7C" w:rsidRPr="00B17A7C" w:rsidRDefault="00B17A7C" w:rsidP="00A9444F">
            <w:pPr>
              <w:pStyle w:val="Default"/>
              <w:jc w:val="center"/>
              <w:rPr>
                <w:b/>
                <w:sz w:val="22"/>
                <w:szCs w:val="22"/>
              </w:rPr>
            </w:pPr>
          </w:p>
        </w:tc>
        <w:tc>
          <w:tcPr>
            <w:tcW w:w="1957" w:type="dxa"/>
            <w:shd w:val="clear" w:color="auto" w:fill="FFFFFF" w:themeFill="background1"/>
          </w:tcPr>
          <w:p w:rsidR="00B17A7C" w:rsidRPr="00B17A7C" w:rsidRDefault="00B17A7C" w:rsidP="00A9444F">
            <w:pPr>
              <w:pStyle w:val="Default"/>
              <w:jc w:val="center"/>
              <w:rPr>
                <w:b/>
                <w:sz w:val="22"/>
                <w:szCs w:val="22"/>
              </w:rPr>
            </w:pPr>
          </w:p>
        </w:tc>
      </w:tr>
      <w:tr w:rsidR="009D48E4" w:rsidRPr="00CA0F5C" w:rsidTr="007348F1">
        <w:trPr>
          <w:trHeight w:val="402"/>
          <w:jc w:val="center"/>
        </w:trPr>
        <w:tc>
          <w:tcPr>
            <w:tcW w:w="10847" w:type="dxa"/>
            <w:gridSpan w:val="4"/>
            <w:shd w:val="clear" w:color="auto" w:fill="F2F2F2" w:themeFill="background1" w:themeFillShade="F2"/>
            <w:vAlign w:val="center"/>
          </w:tcPr>
          <w:p w:rsidR="009D48E4" w:rsidRPr="00B17A7C" w:rsidRDefault="009D48E4" w:rsidP="009D48E4">
            <w:pPr>
              <w:pStyle w:val="Default"/>
              <w:rPr>
                <w:b/>
                <w:sz w:val="22"/>
                <w:szCs w:val="22"/>
              </w:rPr>
            </w:pPr>
            <w:r w:rsidRPr="00CA0F5C">
              <w:rPr>
                <w:b/>
                <w:i/>
                <w:iCs/>
                <w:sz w:val="20"/>
                <w:szCs w:val="20"/>
              </w:rPr>
              <w:t>Prohibit</w:t>
            </w:r>
            <w:r>
              <w:rPr>
                <w:b/>
                <w:i/>
                <w:iCs/>
                <w:sz w:val="20"/>
                <w:szCs w:val="20"/>
              </w:rPr>
              <w:t xml:space="preserve">ed if material to the financial </w:t>
            </w:r>
            <w:r w:rsidRPr="00CA0F5C">
              <w:rPr>
                <w:b/>
                <w:i/>
                <w:iCs/>
                <w:sz w:val="20"/>
                <w:szCs w:val="20"/>
              </w:rPr>
              <w:t>statements</w:t>
            </w:r>
            <w:r w:rsidR="000E42D9">
              <w:rPr>
                <w:b/>
                <w:i/>
                <w:iCs/>
                <w:sz w:val="20"/>
                <w:szCs w:val="20"/>
              </w:rPr>
              <w:t xml:space="preserve"> (Document decision)</w:t>
            </w:r>
            <w:r w:rsidRPr="00CA0F5C">
              <w:rPr>
                <w:b/>
                <w:i/>
                <w:iCs/>
                <w:sz w:val="20"/>
                <w:szCs w:val="20"/>
              </w:rPr>
              <w:t xml:space="preserve"> </w:t>
            </w:r>
          </w:p>
        </w:tc>
      </w:tr>
      <w:tr w:rsidR="008161AF" w:rsidRPr="00CA0F5C" w:rsidTr="007348F1">
        <w:trPr>
          <w:jc w:val="center"/>
        </w:trPr>
        <w:tc>
          <w:tcPr>
            <w:tcW w:w="4711" w:type="dxa"/>
          </w:tcPr>
          <w:p w:rsidR="008161AF" w:rsidRPr="00CA0F5C" w:rsidRDefault="008161AF" w:rsidP="00070673">
            <w:pPr>
              <w:pStyle w:val="Default"/>
              <w:rPr>
                <w:sz w:val="20"/>
                <w:szCs w:val="20"/>
              </w:rPr>
            </w:pPr>
            <w:r w:rsidRPr="00CA0F5C">
              <w:rPr>
                <w:sz w:val="20"/>
                <w:szCs w:val="20"/>
              </w:rPr>
              <w:t xml:space="preserve">• Valuation services </w:t>
            </w:r>
          </w:p>
        </w:tc>
        <w:tc>
          <w:tcPr>
            <w:tcW w:w="2343" w:type="dxa"/>
            <w:vAlign w:val="center"/>
          </w:tcPr>
          <w:p w:rsidR="008161AF" w:rsidRPr="00CA0F5C" w:rsidRDefault="008161AF" w:rsidP="00A9444F">
            <w:pPr>
              <w:pStyle w:val="Default"/>
              <w:jc w:val="center"/>
              <w:rPr>
                <w:b/>
                <w:sz w:val="20"/>
                <w:szCs w:val="20"/>
              </w:rPr>
            </w:pPr>
            <w:r w:rsidRPr="00CA0F5C">
              <w:rPr>
                <w:b/>
                <w:sz w:val="20"/>
                <w:szCs w:val="20"/>
              </w:rPr>
              <w:t>290.179 &amp; 290.180</w:t>
            </w:r>
          </w:p>
        </w:tc>
        <w:tc>
          <w:tcPr>
            <w:tcW w:w="1836" w:type="dxa"/>
            <w:shd w:val="clear" w:color="auto" w:fill="FFFFFF" w:themeFill="background1"/>
          </w:tcPr>
          <w:p w:rsidR="008161AF" w:rsidRPr="00B17A7C" w:rsidRDefault="008161AF" w:rsidP="006B5B9C">
            <w:pPr>
              <w:pStyle w:val="Default"/>
              <w:jc w:val="center"/>
              <w:rPr>
                <w:b/>
                <w:sz w:val="22"/>
                <w:szCs w:val="22"/>
              </w:rPr>
            </w:pPr>
            <w:r w:rsidRPr="00B17A7C">
              <w:rPr>
                <w:rFonts w:ascii="Marlett" w:hAnsi="Marlett"/>
                <w:b/>
                <w:sz w:val="22"/>
                <w:szCs w:val="22"/>
              </w:rPr>
              <w:t></w:t>
            </w:r>
          </w:p>
        </w:tc>
        <w:tc>
          <w:tcPr>
            <w:tcW w:w="1957" w:type="dxa"/>
            <w:shd w:val="clear" w:color="auto" w:fill="FFFFFF" w:themeFill="background1"/>
          </w:tcPr>
          <w:p w:rsidR="008161AF" w:rsidRPr="00B17A7C" w:rsidRDefault="008161AF" w:rsidP="006B5B9C">
            <w:pPr>
              <w:pStyle w:val="Default"/>
              <w:jc w:val="center"/>
              <w:rPr>
                <w:b/>
                <w:sz w:val="22"/>
                <w:szCs w:val="22"/>
              </w:rPr>
            </w:pPr>
            <w:r w:rsidRPr="00B17A7C">
              <w:rPr>
                <w:rFonts w:ascii="Marlett" w:hAnsi="Marlett"/>
                <w:b/>
                <w:sz w:val="22"/>
                <w:szCs w:val="22"/>
              </w:rPr>
              <w:t></w:t>
            </w:r>
          </w:p>
        </w:tc>
      </w:tr>
      <w:tr w:rsidR="008161AF" w:rsidRPr="00CA0F5C" w:rsidTr="007348F1">
        <w:trPr>
          <w:jc w:val="center"/>
        </w:trPr>
        <w:tc>
          <w:tcPr>
            <w:tcW w:w="4711" w:type="dxa"/>
          </w:tcPr>
          <w:p w:rsidR="008161AF" w:rsidRPr="00CA0F5C" w:rsidRDefault="008161AF" w:rsidP="00070673">
            <w:pPr>
              <w:pStyle w:val="Default"/>
              <w:rPr>
                <w:sz w:val="20"/>
                <w:szCs w:val="20"/>
              </w:rPr>
            </w:pPr>
            <w:r w:rsidRPr="00CA0F5C">
              <w:rPr>
                <w:sz w:val="20"/>
                <w:szCs w:val="20"/>
              </w:rPr>
              <w:t xml:space="preserve">• Calculations of current/deferred taxes. </w:t>
            </w:r>
          </w:p>
        </w:tc>
        <w:tc>
          <w:tcPr>
            <w:tcW w:w="2343" w:type="dxa"/>
            <w:vAlign w:val="center"/>
          </w:tcPr>
          <w:p w:rsidR="008161AF" w:rsidRPr="00CA0F5C" w:rsidRDefault="008161AF" w:rsidP="00A9444F">
            <w:pPr>
              <w:pStyle w:val="Default"/>
              <w:jc w:val="center"/>
              <w:rPr>
                <w:b/>
                <w:sz w:val="20"/>
                <w:szCs w:val="20"/>
              </w:rPr>
            </w:pPr>
            <w:r w:rsidRPr="00CA0F5C">
              <w:rPr>
                <w:b/>
                <w:sz w:val="20"/>
                <w:szCs w:val="20"/>
              </w:rPr>
              <w:t>290.185</w:t>
            </w:r>
          </w:p>
        </w:tc>
        <w:tc>
          <w:tcPr>
            <w:tcW w:w="1836" w:type="dxa"/>
            <w:shd w:val="clear" w:color="auto" w:fill="FFFFFF" w:themeFill="background1"/>
            <w:vAlign w:val="center"/>
          </w:tcPr>
          <w:p w:rsidR="008161AF" w:rsidRPr="00B17A7C" w:rsidRDefault="008161AF" w:rsidP="00A9444F">
            <w:pPr>
              <w:pStyle w:val="Default"/>
              <w:jc w:val="center"/>
              <w:rPr>
                <w:b/>
                <w:sz w:val="22"/>
                <w:szCs w:val="22"/>
              </w:rPr>
            </w:pPr>
            <w:r w:rsidRPr="00B17A7C">
              <w:rPr>
                <w:rFonts w:ascii="Marlett" w:hAnsi="Marlett"/>
                <w:b/>
                <w:sz w:val="22"/>
                <w:szCs w:val="22"/>
              </w:rPr>
              <w:t></w:t>
            </w:r>
          </w:p>
        </w:tc>
        <w:tc>
          <w:tcPr>
            <w:tcW w:w="1957" w:type="dxa"/>
            <w:shd w:val="clear" w:color="auto" w:fill="FFFFFF" w:themeFill="background1"/>
          </w:tcPr>
          <w:p w:rsidR="008161AF" w:rsidRPr="00B17A7C" w:rsidRDefault="008161AF" w:rsidP="00A9444F">
            <w:pPr>
              <w:pStyle w:val="Default"/>
              <w:jc w:val="center"/>
              <w:rPr>
                <w:b/>
                <w:sz w:val="22"/>
                <w:szCs w:val="22"/>
              </w:rPr>
            </w:pPr>
          </w:p>
        </w:tc>
      </w:tr>
      <w:tr w:rsidR="008161AF" w:rsidRPr="00CA0F5C" w:rsidTr="007348F1">
        <w:trPr>
          <w:jc w:val="center"/>
        </w:trPr>
        <w:tc>
          <w:tcPr>
            <w:tcW w:w="4711" w:type="dxa"/>
          </w:tcPr>
          <w:p w:rsidR="008161AF" w:rsidRPr="00CA0F5C" w:rsidRDefault="008161AF" w:rsidP="00070673">
            <w:pPr>
              <w:pStyle w:val="Default"/>
              <w:rPr>
                <w:sz w:val="20"/>
                <w:szCs w:val="20"/>
              </w:rPr>
            </w:pPr>
            <w:r w:rsidRPr="00CA0F5C">
              <w:rPr>
                <w:sz w:val="20"/>
                <w:szCs w:val="20"/>
              </w:rPr>
              <w:t xml:space="preserve">• Tax or corporate finance advice that depends on a particular accounting treatment/financial statement presentation with respect to which there is reasonable doubt as to its appropriateness. </w:t>
            </w:r>
          </w:p>
        </w:tc>
        <w:tc>
          <w:tcPr>
            <w:tcW w:w="2343" w:type="dxa"/>
            <w:vAlign w:val="center"/>
          </w:tcPr>
          <w:p w:rsidR="008161AF" w:rsidRDefault="008161AF" w:rsidP="00A9444F">
            <w:pPr>
              <w:pStyle w:val="Default"/>
              <w:jc w:val="center"/>
              <w:rPr>
                <w:b/>
                <w:sz w:val="20"/>
                <w:szCs w:val="20"/>
              </w:rPr>
            </w:pPr>
            <w:r w:rsidRPr="00CA0F5C">
              <w:rPr>
                <w:b/>
                <w:sz w:val="20"/>
                <w:szCs w:val="20"/>
              </w:rPr>
              <w:t>290.190</w:t>
            </w:r>
            <w:r w:rsidR="004F50FC" w:rsidRPr="00CA0F5C">
              <w:rPr>
                <w:b/>
                <w:sz w:val="20"/>
                <w:szCs w:val="20"/>
              </w:rPr>
              <w:t>&amp;</w:t>
            </w:r>
          </w:p>
          <w:p w:rsidR="00593B9B" w:rsidRPr="00CA0F5C" w:rsidRDefault="00593B9B" w:rsidP="00A9444F">
            <w:pPr>
              <w:pStyle w:val="Default"/>
              <w:jc w:val="center"/>
              <w:rPr>
                <w:b/>
                <w:sz w:val="20"/>
                <w:szCs w:val="20"/>
              </w:rPr>
            </w:pPr>
            <w:r>
              <w:rPr>
                <w:b/>
                <w:sz w:val="20"/>
                <w:szCs w:val="20"/>
              </w:rPr>
              <w:t>290.218</w:t>
            </w:r>
          </w:p>
        </w:tc>
        <w:tc>
          <w:tcPr>
            <w:tcW w:w="1836" w:type="dxa"/>
            <w:shd w:val="clear" w:color="auto" w:fill="FFFFFF" w:themeFill="background1"/>
          </w:tcPr>
          <w:p w:rsidR="008161AF" w:rsidRPr="00B17A7C" w:rsidRDefault="008161AF" w:rsidP="006B5B9C">
            <w:pPr>
              <w:pStyle w:val="Default"/>
              <w:jc w:val="center"/>
              <w:rPr>
                <w:b/>
                <w:sz w:val="22"/>
                <w:szCs w:val="22"/>
              </w:rPr>
            </w:pPr>
            <w:r w:rsidRPr="00B17A7C">
              <w:rPr>
                <w:rFonts w:ascii="Marlett" w:hAnsi="Marlett"/>
                <w:b/>
                <w:sz w:val="22"/>
                <w:szCs w:val="22"/>
              </w:rPr>
              <w:t></w:t>
            </w:r>
          </w:p>
        </w:tc>
        <w:tc>
          <w:tcPr>
            <w:tcW w:w="1957" w:type="dxa"/>
            <w:shd w:val="clear" w:color="auto" w:fill="FFFFFF" w:themeFill="background1"/>
          </w:tcPr>
          <w:p w:rsidR="008161AF" w:rsidRPr="00B17A7C" w:rsidRDefault="008161AF" w:rsidP="006B5B9C">
            <w:pPr>
              <w:pStyle w:val="Default"/>
              <w:jc w:val="center"/>
              <w:rPr>
                <w:b/>
                <w:sz w:val="22"/>
                <w:szCs w:val="22"/>
              </w:rPr>
            </w:pPr>
            <w:r w:rsidRPr="00B17A7C">
              <w:rPr>
                <w:rFonts w:ascii="Marlett" w:hAnsi="Marlett"/>
                <w:b/>
                <w:sz w:val="22"/>
                <w:szCs w:val="22"/>
              </w:rPr>
              <w:t></w:t>
            </w:r>
          </w:p>
        </w:tc>
      </w:tr>
      <w:tr w:rsidR="008161AF" w:rsidRPr="00CA0F5C" w:rsidTr="007348F1">
        <w:trPr>
          <w:jc w:val="center"/>
        </w:trPr>
        <w:tc>
          <w:tcPr>
            <w:tcW w:w="4711" w:type="dxa"/>
          </w:tcPr>
          <w:p w:rsidR="008161AF" w:rsidRPr="00CA0F5C" w:rsidRDefault="008161AF" w:rsidP="00070673">
            <w:pPr>
              <w:pStyle w:val="Default"/>
              <w:rPr>
                <w:sz w:val="20"/>
                <w:szCs w:val="20"/>
              </w:rPr>
            </w:pPr>
            <w:r w:rsidRPr="00CA0F5C">
              <w:rPr>
                <w:sz w:val="20"/>
                <w:szCs w:val="20"/>
              </w:rPr>
              <w:t xml:space="preserve">• Acting as an advocate before a public tribunal or court to resolve a tax matter. </w:t>
            </w:r>
          </w:p>
        </w:tc>
        <w:tc>
          <w:tcPr>
            <w:tcW w:w="2343" w:type="dxa"/>
            <w:vAlign w:val="center"/>
          </w:tcPr>
          <w:p w:rsidR="008161AF" w:rsidRPr="00CA0F5C" w:rsidRDefault="008161AF" w:rsidP="00A9444F">
            <w:pPr>
              <w:pStyle w:val="Default"/>
              <w:jc w:val="center"/>
              <w:rPr>
                <w:b/>
                <w:sz w:val="20"/>
                <w:szCs w:val="20"/>
              </w:rPr>
            </w:pPr>
            <w:r w:rsidRPr="00CA0F5C">
              <w:rPr>
                <w:b/>
                <w:sz w:val="20"/>
                <w:szCs w:val="20"/>
              </w:rPr>
              <w:t>290.193</w:t>
            </w:r>
          </w:p>
        </w:tc>
        <w:tc>
          <w:tcPr>
            <w:tcW w:w="1836" w:type="dxa"/>
            <w:shd w:val="clear" w:color="auto" w:fill="FFFFFF" w:themeFill="background1"/>
          </w:tcPr>
          <w:p w:rsidR="008161AF" w:rsidRPr="00B17A7C" w:rsidRDefault="008161AF" w:rsidP="006B5B9C">
            <w:pPr>
              <w:pStyle w:val="Default"/>
              <w:jc w:val="center"/>
              <w:rPr>
                <w:b/>
                <w:sz w:val="22"/>
                <w:szCs w:val="22"/>
              </w:rPr>
            </w:pPr>
            <w:r w:rsidRPr="00B17A7C">
              <w:rPr>
                <w:rFonts w:ascii="Marlett" w:hAnsi="Marlett"/>
                <w:b/>
                <w:sz w:val="22"/>
                <w:szCs w:val="22"/>
              </w:rPr>
              <w:t></w:t>
            </w:r>
          </w:p>
        </w:tc>
        <w:tc>
          <w:tcPr>
            <w:tcW w:w="1957" w:type="dxa"/>
            <w:shd w:val="clear" w:color="auto" w:fill="FFFFFF" w:themeFill="background1"/>
          </w:tcPr>
          <w:p w:rsidR="008161AF" w:rsidRPr="00B17A7C" w:rsidRDefault="008161AF" w:rsidP="006B5B9C">
            <w:pPr>
              <w:pStyle w:val="Default"/>
              <w:jc w:val="center"/>
              <w:rPr>
                <w:b/>
                <w:sz w:val="22"/>
                <w:szCs w:val="22"/>
              </w:rPr>
            </w:pPr>
            <w:r w:rsidRPr="00B17A7C">
              <w:rPr>
                <w:rFonts w:ascii="Marlett" w:hAnsi="Marlett"/>
                <w:b/>
                <w:sz w:val="22"/>
                <w:szCs w:val="22"/>
              </w:rPr>
              <w:t></w:t>
            </w:r>
          </w:p>
        </w:tc>
      </w:tr>
      <w:tr w:rsidR="008161AF" w:rsidRPr="00CA0F5C" w:rsidTr="007348F1">
        <w:trPr>
          <w:jc w:val="center"/>
        </w:trPr>
        <w:tc>
          <w:tcPr>
            <w:tcW w:w="4711" w:type="dxa"/>
          </w:tcPr>
          <w:p w:rsidR="008161AF" w:rsidRPr="00CA0F5C" w:rsidRDefault="008161AF" w:rsidP="00070673">
            <w:pPr>
              <w:pStyle w:val="Default"/>
              <w:rPr>
                <w:sz w:val="20"/>
                <w:szCs w:val="20"/>
              </w:rPr>
            </w:pPr>
            <w:r w:rsidRPr="00CA0F5C">
              <w:rPr>
                <w:sz w:val="20"/>
                <w:szCs w:val="20"/>
              </w:rPr>
              <w:t xml:space="preserve">• Internal audit services relating to internal controls over financial reporting, financial accounting systems, or financial statement amounts/disclosures. </w:t>
            </w:r>
          </w:p>
        </w:tc>
        <w:tc>
          <w:tcPr>
            <w:tcW w:w="2343" w:type="dxa"/>
            <w:vAlign w:val="center"/>
          </w:tcPr>
          <w:p w:rsidR="008161AF" w:rsidRPr="00CA0F5C" w:rsidRDefault="008161AF" w:rsidP="00A9444F">
            <w:pPr>
              <w:pStyle w:val="Default"/>
              <w:jc w:val="center"/>
              <w:rPr>
                <w:b/>
                <w:sz w:val="20"/>
                <w:szCs w:val="20"/>
              </w:rPr>
            </w:pPr>
            <w:r w:rsidRPr="00CA0F5C">
              <w:rPr>
                <w:b/>
                <w:sz w:val="20"/>
                <w:szCs w:val="20"/>
              </w:rPr>
              <w:t>290.200</w:t>
            </w:r>
          </w:p>
        </w:tc>
        <w:tc>
          <w:tcPr>
            <w:tcW w:w="1836" w:type="dxa"/>
            <w:shd w:val="clear" w:color="auto" w:fill="FFFFFF" w:themeFill="background1"/>
            <w:vAlign w:val="center"/>
          </w:tcPr>
          <w:p w:rsidR="008161AF" w:rsidRPr="00B17A7C" w:rsidRDefault="008161AF" w:rsidP="00A9444F">
            <w:pPr>
              <w:pStyle w:val="Default"/>
              <w:jc w:val="center"/>
              <w:rPr>
                <w:b/>
                <w:sz w:val="22"/>
                <w:szCs w:val="22"/>
              </w:rPr>
            </w:pPr>
            <w:r w:rsidRPr="00B17A7C">
              <w:rPr>
                <w:rFonts w:ascii="Marlett" w:hAnsi="Marlett"/>
                <w:b/>
                <w:sz w:val="22"/>
                <w:szCs w:val="22"/>
              </w:rPr>
              <w:t></w:t>
            </w:r>
          </w:p>
        </w:tc>
        <w:tc>
          <w:tcPr>
            <w:tcW w:w="1957" w:type="dxa"/>
            <w:shd w:val="clear" w:color="auto" w:fill="FFFFFF" w:themeFill="background1"/>
          </w:tcPr>
          <w:p w:rsidR="008161AF" w:rsidRPr="00B17A7C" w:rsidRDefault="008161AF" w:rsidP="00A9444F">
            <w:pPr>
              <w:pStyle w:val="Default"/>
              <w:jc w:val="center"/>
              <w:rPr>
                <w:b/>
                <w:sz w:val="22"/>
                <w:szCs w:val="22"/>
              </w:rPr>
            </w:pPr>
          </w:p>
        </w:tc>
      </w:tr>
      <w:tr w:rsidR="008161AF" w:rsidRPr="00CA0F5C" w:rsidTr="007348F1">
        <w:trPr>
          <w:jc w:val="center"/>
        </w:trPr>
        <w:tc>
          <w:tcPr>
            <w:tcW w:w="4711" w:type="dxa"/>
          </w:tcPr>
          <w:p w:rsidR="008161AF" w:rsidRPr="00CA0F5C" w:rsidRDefault="008161AF" w:rsidP="00070673">
            <w:pPr>
              <w:pStyle w:val="Default"/>
              <w:rPr>
                <w:sz w:val="20"/>
                <w:szCs w:val="20"/>
              </w:rPr>
            </w:pPr>
            <w:r w:rsidRPr="00CA0F5C">
              <w:rPr>
                <w:sz w:val="20"/>
                <w:szCs w:val="20"/>
              </w:rPr>
              <w:t>• Designing/implementing financial reporting IT systems.</w:t>
            </w:r>
          </w:p>
        </w:tc>
        <w:tc>
          <w:tcPr>
            <w:tcW w:w="2343" w:type="dxa"/>
            <w:vAlign w:val="center"/>
          </w:tcPr>
          <w:p w:rsidR="008161AF" w:rsidRPr="00CA0F5C" w:rsidRDefault="008161AF" w:rsidP="00A9444F">
            <w:pPr>
              <w:pStyle w:val="Default"/>
              <w:jc w:val="center"/>
              <w:rPr>
                <w:b/>
                <w:sz w:val="20"/>
                <w:szCs w:val="20"/>
              </w:rPr>
            </w:pPr>
            <w:r w:rsidRPr="00CA0F5C">
              <w:rPr>
                <w:b/>
                <w:sz w:val="20"/>
                <w:szCs w:val="20"/>
              </w:rPr>
              <w:t>290.203 &amp; 290.206</w:t>
            </w:r>
          </w:p>
        </w:tc>
        <w:tc>
          <w:tcPr>
            <w:tcW w:w="1836" w:type="dxa"/>
            <w:shd w:val="clear" w:color="auto" w:fill="FFFFFF" w:themeFill="background1"/>
          </w:tcPr>
          <w:p w:rsidR="008161AF" w:rsidRPr="00B17A7C" w:rsidRDefault="008161AF" w:rsidP="006B5B9C">
            <w:pPr>
              <w:pStyle w:val="Default"/>
              <w:jc w:val="center"/>
              <w:rPr>
                <w:b/>
                <w:sz w:val="22"/>
                <w:szCs w:val="22"/>
              </w:rPr>
            </w:pPr>
            <w:r w:rsidRPr="00B17A7C">
              <w:rPr>
                <w:rFonts w:ascii="Marlett" w:hAnsi="Marlett"/>
                <w:b/>
                <w:sz w:val="22"/>
                <w:szCs w:val="22"/>
              </w:rPr>
              <w:t></w:t>
            </w:r>
          </w:p>
        </w:tc>
        <w:tc>
          <w:tcPr>
            <w:tcW w:w="1957" w:type="dxa"/>
            <w:shd w:val="clear" w:color="auto" w:fill="FFFFFF" w:themeFill="background1"/>
          </w:tcPr>
          <w:p w:rsidR="008161AF" w:rsidRPr="00B17A7C" w:rsidRDefault="007C0DFB" w:rsidP="007C0DFB">
            <w:pPr>
              <w:pStyle w:val="Default"/>
              <w:jc w:val="center"/>
              <w:rPr>
                <w:b/>
                <w:sz w:val="22"/>
                <w:szCs w:val="22"/>
              </w:rPr>
            </w:pPr>
            <w:r w:rsidRPr="00910FD8">
              <w:rPr>
                <w:b/>
                <w:sz w:val="20"/>
                <w:szCs w:val="20"/>
              </w:rPr>
              <w:t>Please consider S90(2)</w:t>
            </w:r>
            <w:r>
              <w:rPr>
                <w:b/>
                <w:sz w:val="20"/>
                <w:szCs w:val="20"/>
              </w:rPr>
              <w:t>(a)(ii)</w:t>
            </w:r>
            <w:r w:rsidRPr="00910FD8">
              <w:rPr>
                <w:b/>
                <w:sz w:val="20"/>
                <w:szCs w:val="20"/>
              </w:rPr>
              <w:t xml:space="preserve"> Companies Act, 71 of 2008 requirements</w:t>
            </w:r>
          </w:p>
        </w:tc>
      </w:tr>
      <w:tr w:rsidR="008161AF" w:rsidRPr="00CA0F5C" w:rsidTr="007348F1">
        <w:trPr>
          <w:jc w:val="center"/>
        </w:trPr>
        <w:tc>
          <w:tcPr>
            <w:tcW w:w="4711" w:type="dxa"/>
          </w:tcPr>
          <w:p w:rsidR="008161AF" w:rsidRPr="00CA0F5C" w:rsidRDefault="008161AF" w:rsidP="00070673">
            <w:pPr>
              <w:pStyle w:val="Default"/>
              <w:rPr>
                <w:sz w:val="20"/>
                <w:szCs w:val="20"/>
              </w:rPr>
            </w:pPr>
            <w:r w:rsidRPr="00CA0F5C">
              <w:rPr>
                <w:sz w:val="20"/>
                <w:szCs w:val="20"/>
              </w:rPr>
              <w:t xml:space="preserve">• Estimating damages or other amounts as part of litigation support services. </w:t>
            </w:r>
          </w:p>
        </w:tc>
        <w:tc>
          <w:tcPr>
            <w:tcW w:w="2343" w:type="dxa"/>
            <w:vAlign w:val="center"/>
          </w:tcPr>
          <w:p w:rsidR="008161AF" w:rsidRPr="00CA0F5C" w:rsidRDefault="008161AF" w:rsidP="00A9444F">
            <w:pPr>
              <w:pStyle w:val="Default"/>
              <w:jc w:val="center"/>
              <w:rPr>
                <w:b/>
                <w:sz w:val="20"/>
                <w:szCs w:val="20"/>
              </w:rPr>
            </w:pPr>
            <w:r w:rsidRPr="00CA0F5C">
              <w:rPr>
                <w:b/>
                <w:sz w:val="20"/>
                <w:szCs w:val="20"/>
              </w:rPr>
              <w:t>290.208</w:t>
            </w:r>
          </w:p>
        </w:tc>
        <w:tc>
          <w:tcPr>
            <w:tcW w:w="1836" w:type="dxa"/>
            <w:shd w:val="clear" w:color="auto" w:fill="FFFFFF" w:themeFill="background1"/>
          </w:tcPr>
          <w:p w:rsidR="008161AF" w:rsidRPr="00B17A7C" w:rsidRDefault="008161AF" w:rsidP="006B5B9C">
            <w:pPr>
              <w:pStyle w:val="Default"/>
              <w:jc w:val="center"/>
              <w:rPr>
                <w:b/>
                <w:sz w:val="22"/>
                <w:szCs w:val="22"/>
              </w:rPr>
            </w:pPr>
            <w:r w:rsidRPr="00B17A7C">
              <w:rPr>
                <w:rFonts w:ascii="Marlett" w:hAnsi="Marlett"/>
                <w:b/>
                <w:sz w:val="22"/>
                <w:szCs w:val="22"/>
              </w:rPr>
              <w:t></w:t>
            </w:r>
          </w:p>
        </w:tc>
        <w:tc>
          <w:tcPr>
            <w:tcW w:w="1957" w:type="dxa"/>
            <w:shd w:val="clear" w:color="auto" w:fill="FFFFFF" w:themeFill="background1"/>
          </w:tcPr>
          <w:p w:rsidR="008161AF" w:rsidRPr="00B17A7C" w:rsidRDefault="008161AF" w:rsidP="006B5B9C">
            <w:pPr>
              <w:pStyle w:val="Default"/>
              <w:jc w:val="center"/>
              <w:rPr>
                <w:b/>
                <w:sz w:val="22"/>
                <w:szCs w:val="22"/>
              </w:rPr>
            </w:pPr>
            <w:r w:rsidRPr="00B17A7C">
              <w:rPr>
                <w:rFonts w:ascii="Marlett" w:hAnsi="Marlett"/>
                <w:b/>
                <w:sz w:val="22"/>
                <w:szCs w:val="22"/>
              </w:rPr>
              <w:t></w:t>
            </w:r>
          </w:p>
        </w:tc>
      </w:tr>
      <w:tr w:rsidR="008161AF" w:rsidRPr="00CA0F5C" w:rsidTr="007348F1">
        <w:trPr>
          <w:trHeight w:val="218"/>
          <w:jc w:val="center"/>
        </w:trPr>
        <w:tc>
          <w:tcPr>
            <w:tcW w:w="4711" w:type="dxa"/>
          </w:tcPr>
          <w:p w:rsidR="008161AF" w:rsidRPr="00CA0F5C" w:rsidRDefault="008161AF" w:rsidP="00070673">
            <w:pPr>
              <w:pStyle w:val="Default"/>
              <w:rPr>
                <w:sz w:val="20"/>
                <w:szCs w:val="20"/>
              </w:rPr>
            </w:pPr>
            <w:r w:rsidRPr="00CA0F5C">
              <w:rPr>
                <w:sz w:val="20"/>
                <w:szCs w:val="20"/>
              </w:rPr>
              <w:t xml:space="preserve">• Acting as an advocate to resolve a dispute. </w:t>
            </w:r>
          </w:p>
        </w:tc>
        <w:tc>
          <w:tcPr>
            <w:tcW w:w="2343" w:type="dxa"/>
            <w:vAlign w:val="center"/>
          </w:tcPr>
          <w:p w:rsidR="008161AF" w:rsidRPr="00CA0F5C" w:rsidRDefault="008161AF" w:rsidP="00A9444F">
            <w:pPr>
              <w:pStyle w:val="Default"/>
              <w:jc w:val="center"/>
              <w:rPr>
                <w:b/>
                <w:sz w:val="20"/>
                <w:szCs w:val="20"/>
              </w:rPr>
            </w:pPr>
            <w:r w:rsidRPr="00CA0F5C">
              <w:rPr>
                <w:b/>
                <w:sz w:val="20"/>
                <w:szCs w:val="20"/>
              </w:rPr>
              <w:t>290.211</w:t>
            </w:r>
          </w:p>
        </w:tc>
        <w:tc>
          <w:tcPr>
            <w:tcW w:w="1836" w:type="dxa"/>
            <w:shd w:val="clear" w:color="auto" w:fill="FFFFFF" w:themeFill="background1"/>
          </w:tcPr>
          <w:p w:rsidR="008161AF" w:rsidRPr="00B17A7C" w:rsidRDefault="008161AF" w:rsidP="006B5B9C">
            <w:pPr>
              <w:pStyle w:val="Default"/>
              <w:jc w:val="center"/>
              <w:rPr>
                <w:b/>
                <w:sz w:val="22"/>
                <w:szCs w:val="22"/>
              </w:rPr>
            </w:pPr>
            <w:r w:rsidRPr="00B17A7C">
              <w:rPr>
                <w:rFonts w:ascii="Marlett" w:hAnsi="Marlett"/>
                <w:b/>
                <w:sz w:val="22"/>
                <w:szCs w:val="22"/>
              </w:rPr>
              <w:t></w:t>
            </w:r>
          </w:p>
        </w:tc>
        <w:tc>
          <w:tcPr>
            <w:tcW w:w="1957" w:type="dxa"/>
            <w:shd w:val="clear" w:color="auto" w:fill="FFFFFF" w:themeFill="background1"/>
          </w:tcPr>
          <w:p w:rsidR="008161AF" w:rsidRPr="00B17A7C" w:rsidRDefault="008161AF" w:rsidP="006B5B9C">
            <w:pPr>
              <w:pStyle w:val="Default"/>
              <w:jc w:val="center"/>
              <w:rPr>
                <w:b/>
                <w:sz w:val="22"/>
                <w:szCs w:val="22"/>
              </w:rPr>
            </w:pPr>
            <w:r w:rsidRPr="00B17A7C">
              <w:rPr>
                <w:rFonts w:ascii="Marlett" w:hAnsi="Marlett"/>
                <w:b/>
                <w:sz w:val="22"/>
                <w:szCs w:val="22"/>
              </w:rPr>
              <w:t></w:t>
            </w:r>
          </w:p>
        </w:tc>
      </w:tr>
    </w:tbl>
    <w:p w:rsidR="009D48E4" w:rsidRPr="00B531CA" w:rsidRDefault="009D48E4" w:rsidP="009D48E4">
      <w:pPr>
        <w:pStyle w:val="Default"/>
        <w:rPr>
          <w:sz w:val="20"/>
          <w:szCs w:val="20"/>
        </w:rPr>
      </w:pPr>
      <w:r w:rsidRPr="00B531CA">
        <w:rPr>
          <w:b/>
          <w:sz w:val="20"/>
          <w:szCs w:val="20"/>
          <w:u w:val="single"/>
        </w:rPr>
        <w:lastRenderedPageBreak/>
        <w:t>Note 1:</w:t>
      </w:r>
      <w:r w:rsidRPr="00B531CA">
        <w:rPr>
          <w:sz w:val="20"/>
          <w:szCs w:val="20"/>
        </w:rPr>
        <w:t xml:space="preserve"> Can be provided to divisions/related entities if routine/mechanical, or in an emergency, if specified conditions are met</w:t>
      </w:r>
    </w:p>
    <w:tbl>
      <w:tblPr>
        <w:tblStyle w:val="TableGrid"/>
        <w:tblW w:w="0" w:type="auto"/>
        <w:jc w:val="center"/>
        <w:tblLook w:val="04A0" w:firstRow="1" w:lastRow="0" w:firstColumn="1" w:lastColumn="0" w:noHBand="0" w:noVBand="1"/>
      </w:tblPr>
      <w:tblGrid>
        <w:gridCol w:w="6345"/>
        <w:gridCol w:w="2268"/>
      </w:tblGrid>
      <w:tr w:rsidR="00B155BB" w:rsidRPr="00CA0F5C" w:rsidTr="007348F1">
        <w:trPr>
          <w:jc w:val="center"/>
        </w:trPr>
        <w:tc>
          <w:tcPr>
            <w:tcW w:w="6345" w:type="dxa"/>
            <w:shd w:val="clear" w:color="auto" w:fill="F2F2F2" w:themeFill="background1" w:themeFillShade="F2"/>
          </w:tcPr>
          <w:p w:rsidR="00B155BB" w:rsidRPr="00E811BB" w:rsidRDefault="00B155BB" w:rsidP="00DC085B">
            <w:pPr>
              <w:pStyle w:val="Default"/>
              <w:rPr>
                <w:sz w:val="20"/>
                <w:szCs w:val="20"/>
              </w:rPr>
            </w:pPr>
            <w:r w:rsidRPr="00E811BB">
              <w:rPr>
                <w:b/>
                <w:bCs/>
                <w:iCs/>
                <w:sz w:val="20"/>
                <w:szCs w:val="20"/>
              </w:rPr>
              <w:t>INTERESTS AND RELATIONSHIPS</w:t>
            </w:r>
            <w:r>
              <w:rPr>
                <w:b/>
                <w:bCs/>
                <w:iCs/>
                <w:sz w:val="20"/>
                <w:szCs w:val="20"/>
              </w:rPr>
              <w:t xml:space="preserve"> WHICH ARE PROHIBITED OR REQUIRE SAFEGUARDS</w:t>
            </w:r>
            <w:r w:rsidRPr="00E811BB">
              <w:rPr>
                <w:b/>
                <w:bCs/>
                <w:iCs/>
                <w:sz w:val="20"/>
                <w:szCs w:val="20"/>
              </w:rPr>
              <w:t xml:space="preserve"> </w:t>
            </w:r>
          </w:p>
          <w:p w:rsidR="00B155BB" w:rsidRPr="00CA0F5C" w:rsidRDefault="00B155BB" w:rsidP="00DC085B">
            <w:pPr>
              <w:pStyle w:val="Default"/>
              <w:rPr>
                <w:sz w:val="20"/>
                <w:szCs w:val="20"/>
              </w:rPr>
            </w:pPr>
          </w:p>
        </w:tc>
        <w:tc>
          <w:tcPr>
            <w:tcW w:w="2268" w:type="dxa"/>
            <w:shd w:val="clear" w:color="auto" w:fill="F2F2F2" w:themeFill="background1" w:themeFillShade="F2"/>
          </w:tcPr>
          <w:p w:rsidR="00B155BB" w:rsidRDefault="00B155BB" w:rsidP="00910FD8">
            <w:pPr>
              <w:pStyle w:val="Default"/>
              <w:rPr>
                <w:b/>
                <w:bCs/>
                <w:iCs/>
                <w:sz w:val="20"/>
                <w:szCs w:val="20"/>
              </w:rPr>
            </w:pPr>
            <w:r w:rsidRPr="00E811BB">
              <w:rPr>
                <w:b/>
                <w:bCs/>
                <w:iCs/>
                <w:sz w:val="20"/>
                <w:szCs w:val="20"/>
              </w:rPr>
              <w:t>IRBA Code</w:t>
            </w:r>
            <w:r>
              <w:rPr>
                <w:b/>
                <w:bCs/>
                <w:iCs/>
                <w:sz w:val="20"/>
                <w:szCs w:val="20"/>
              </w:rPr>
              <w:t>:</w:t>
            </w:r>
          </w:p>
          <w:p w:rsidR="00B155BB" w:rsidRPr="00CA0F5C" w:rsidRDefault="00B155BB" w:rsidP="00910FD8">
            <w:pPr>
              <w:pStyle w:val="Default"/>
              <w:rPr>
                <w:b/>
                <w:bCs/>
                <w:i/>
                <w:iCs/>
                <w:sz w:val="20"/>
                <w:szCs w:val="20"/>
              </w:rPr>
            </w:pPr>
            <w:r w:rsidRPr="00E811BB">
              <w:rPr>
                <w:b/>
                <w:bCs/>
                <w:iCs/>
                <w:sz w:val="20"/>
                <w:szCs w:val="20"/>
              </w:rPr>
              <w:t xml:space="preserve">Relevant Section </w:t>
            </w:r>
          </w:p>
        </w:tc>
      </w:tr>
      <w:tr w:rsidR="00690712" w:rsidRPr="00CA0F5C" w:rsidTr="007348F1">
        <w:trPr>
          <w:jc w:val="center"/>
        </w:trPr>
        <w:tc>
          <w:tcPr>
            <w:tcW w:w="8613" w:type="dxa"/>
            <w:gridSpan w:val="2"/>
            <w:shd w:val="clear" w:color="auto" w:fill="F2F2F2" w:themeFill="background1" w:themeFillShade="F2"/>
          </w:tcPr>
          <w:p w:rsidR="00690712" w:rsidRPr="00E811BB" w:rsidRDefault="00690712" w:rsidP="00910FD8">
            <w:pPr>
              <w:pStyle w:val="Default"/>
              <w:rPr>
                <w:b/>
                <w:bCs/>
                <w:iCs/>
                <w:sz w:val="20"/>
                <w:szCs w:val="20"/>
              </w:rPr>
            </w:pPr>
            <w:r>
              <w:rPr>
                <w:b/>
                <w:i/>
                <w:iCs/>
                <w:sz w:val="20"/>
                <w:szCs w:val="20"/>
              </w:rPr>
              <w:t xml:space="preserve">Document </w:t>
            </w:r>
            <w:r w:rsidR="00FA494D">
              <w:rPr>
                <w:b/>
                <w:i/>
                <w:iCs/>
                <w:sz w:val="20"/>
                <w:szCs w:val="20"/>
              </w:rPr>
              <w:t>basis on which Code was applied</w:t>
            </w:r>
          </w:p>
        </w:tc>
      </w:tr>
      <w:tr w:rsidR="00B155BB" w:rsidRPr="00CA0F5C" w:rsidTr="007348F1">
        <w:trPr>
          <w:jc w:val="center"/>
        </w:trPr>
        <w:tc>
          <w:tcPr>
            <w:tcW w:w="6345" w:type="dxa"/>
          </w:tcPr>
          <w:p w:rsidR="00B155BB" w:rsidRPr="00CA0F5C" w:rsidRDefault="00B155BB" w:rsidP="00DC085B">
            <w:pPr>
              <w:pStyle w:val="Default"/>
              <w:rPr>
                <w:sz w:val="20"/>
                <w:szCs w:val="20"/>
              </w:rPr>
            </w:pPr>
            <w:r w:rsidRPr="00CA0F5C">
              <w:rPr>
                <w:sz w:val="20"/>
                <w:szCs w:val="20"/>
              </w:rPr>
              <w:t xml:space="preserve">• Financial interests in the client. </w:t>
            </w:r>
          </w:p>
        </w:tc>
        <w:tc>
          <w:tcPr>
            <w:tcW w:w="2268" w:type="dxa"/>
            <w:vAlign w:val="center"/>
          </w:tcPr>
          <w:p w:rsidR="00B155BB" w:rsidRPr="00CA0F5C" w:rsidRDefault="00B155BB" w:rsidP="00A9444F">
            <w:pPr>
              <w:pStyle w:val="Default"/>
              <w:jc w:val="center"/>
              <w:rPr>
                <w:b/>
                <w:sz w:val="20"/>
                <w:szCs w:val="20"/>
              </w:rPr>
            </w:pPr>
            <w:r w:rsidRPr="00CA0F5C">
              <w:rPr>
                <w:b/>
                <w:sz w:val="20"/>
                <w:szCs w:val="20"/>
              </w:rPr>
              <w:t>290.104</w:t>
            </w:r>
          </w:p>
        </w:tc>
      </w:tr>
      <w:tr w:rsidR="00B155BB" w:rsidRPr="00CA0F5C" w:rsidTr="007348F1">
        <w:trPr>
          <w:jc w:val="center"/>
        </w:trPr>
        <w:tc>
          <w:tcPr>
            <w:tcW w:w="6345" w:type="dxa"/>
          </w:tcPr>
          <w:p w:rsidR="00B155BB" w:rsidRPr="00CA0F5C" w:rsidRDefault="00B155BB" w:rsidP="00DC085B">
            <w:pPr>
              <w:pStyle w:val="Default"/>
              <w:rPr>
                <w:sz w:val="20"/>
                <w:szCs w:val="20"/>
              </w:rPr>
            </w:pPr>
            <w:r w:rsidRPr="00CA0F5C">
              <w:rPr>
                <w:sz w:val="20"/>
                <w:szCs w:val="20"/>
              </w:rPr>
              <w:t xml:space="preserve">• Financial interests in an entity in which the client has a material interest, and can significantly influence. </w:t>
            </w:r>
          </w:p>
        </w:tc>
        <w:tc>
          <w:tcPr>
            <w:tcW w:w="2268" w:type="dxa"/>
            <w:vAlign w:val="center"/>
          </w:tcPr>
          <w:p w:rsidR="00B155BB" w:rsidRPr="00CA0F5C" w:rsidRDefault="00B155BB" w:rsidP="00A9444F">
            <w:pPr>
              <w:pStyle w:val="Default"/>
              <w:jc w:val="center"/>
              <w:rPr>
                <w:b/>
                <w:sz w:val="20"/>
                <w:szCs w:val="20"/>
              </w:rPr>
            </w:pPr>
            <w:r w:rsidRPr="00CA0F5C">
              <w:rPr>
                <w:b/>
                <w:sz w:val="20"/>
                <w:szCs w:val="20"/>
              </w:rPr>
              <w:t>290.112</w:t>
            </w:r>
          </w:p>
        </w:tc>
      </w:tr>
      <w:tr w:rsidR="00B155BB" w:rsidRPr="00CA0F5C" w:rsidTr="007348F1">
        <w:trPr>
          <w:jc w:val="center"/>
        </w:trPr>
        <w:tc>
          <w:tcPr>
            <w:tcW w:w="6345" w:type="dxa"/>
          </w:tcPr>
          <w:p w:rsidR="00B155BB" w:rsidRPr="00CA0F5C" w:rsidRDefault="00B155BB" w:rsidP="00DC085B">
            <w:pPr>
              <w:pStyle w:val="Default"/>
              <w:rPr>
                <w:sz w:val="20"/>
                <w:szCs w:val="20"/>
              </w:rPr>
            </w:pPr>
            <w:r w:rsidRPr="00CA0F5C">
              <w:rPr>
                <w:sz w:val="20"/>
                <w:szCs w:val="20"/>
              </w:rPr>
              <w:t xml:space="preserve">• Loans from a client lending institution that have not been made under normal lending procedures, terms, and conditions, or from a client that is not a lending institution and that are material. </w:t>
            </w:r>
          </w:p>
        </w:tc>
        <w:tc>
          <w:tcPr>
            <w:tcW w:w="2268" w:type="dxa"/>
            <w:vAlign w:val="center"/>
          </w:tcPr>
          <w:p w:rsidR="00B155BB" w:rsidRPr="00CA0F5C" w:rsidRDefault="00B155BB" w:rsidP="00A9444F">
            <w:pPr>
              <w:pStyle w:val="Default"/>
              <w:jc w:val="center"/>
              <w:rPr>
                <w:b/>
                <w:sz w:val="20"/>
                <w:szCs w:val="20"/>
              </w:rPr>
            </w:pPr>
            <w:r w:rsidRPr="00CA0F5C">
              <w:rPr>
                <w:b/>
                <w:sz w:val="20"/>
                <w:szCs w:val="20"/>
              </w:rPr>
              <w:t>290.118</w:t>
            </w:r>
          </w:p>
        </w:tc>
      </w:tr>
      <w:tr w:rsidR="00B155BB" w:rsidRPr="00CA0F5C" w:rsidTr="007348F1">
        <w:trPr>
          <w:jc w:val="center"/>
        </w:trPr>
        <w:tc>
          <w:tcPr>
            <w:tcW w:w="6345" w:type="dxa"/>
          </w:tcPr>
          <w:p w:rsidR="00B155BB" w:rsidRPr="00CA0F5C" w:rsidRDefault="00B155BB" w:rsidP="00DC085B">
            <w:pPr>
              <w:pStyle w:val="Default"/>
              <w:rPr>
                <w:sz w:val="20"/>
                <w:szCs w:val="20"/>
              </w:rPr>
            </w:pPr>
            <w:r w:rsidRPr="00CA0F5C">
              <w:rPr>
                <w:sz w:val="20"/>
                <w:szCs w:val="20"/>
              </w:rPr>
              <w:t xml:space="preserve">• Material loans to a client. </w:t>
            </w:r>
          </w:p>
          <w:p w:rsidR="00B155BB" w:rsidRPr="00CA0F5C" w:rsidRDefault="00B155BB" w:rsidP="00DC085B">
            <w:pPr>
              <w:pStyle w:val="Default"/>
              <w:rPr>
                <w:sz w:val="20"/>
                <w:szCs w:val="20"/>
              </w:rPr>
            </w:pPr>
          </w:p>
        </w:tc>
        <w:tc>
          <w:tcPr>
            <w:tcW w:w="2268" w:type="dxa"/>
            <w:vAlign w:val="center"/>
          </w:tcPr>
          <w:p w:rsidR="00B155BB" w:rsidRPr="00CA0F5C" w:rsidRDefault="00B155BB" w:rsidP="00A9444F">
            <w:pPr>
              <w:pStyle w:val="Default"/>
              <w:jc w:val="center"/>
              <w:rPr>
                <w:b/>
                <w:sz w:val="20"/>
                <w:szCs w:val="20"/>
              </w:rPr>
            </w:pPr>
            <w:r w:rsidRPr="00CA0F5C">
              <w:rPr>
                <w:b/>
                <w:sz w:val="20"/>
                <w:szCs w:val="20"/>
              </w:rPr>
              <w:t>290.122</w:t>
            </w:r>
          </w:p>
        </w:tc>
      </w:tr>
      <w:tr w:rsidR="00B155BB" w:rsidRPr="00CA0F5C" w:rsidTr="007348F1">
        <w:trPr>
          <w:jc w:val="center"/>
        </w:trPr>
        <w:tc>
          <w:tcPr>
            <w:tcW w:w="6345" w:type="dxa"/>
          </w:tcPr>
          <w:p w:rsidR="00B155BB" w:rsidRPr="00CA0F5C" w:rsidRDefault="00B155BB" w:rsidP="00DC085B">
            <w:pPr>
              <w:pStyle w:val="Default"/>
              <w:rPr>
                <w:sz w:val="20"/>
                <w:szCs w:val="20"/>
              </w:rPr>
            </w:pPr>
            <w:r w:rsidRPr="00CA0F5C">
              <w:rPr>
                <w:sz w:val="20"/>
                <w:szCs w:val="20"/>
              </w:rPr>
              <w:t>• Deposits with a client not held under normal terms.</w:t>
            </w:r>
          </w:p>
        </w:tc>
        <w:tc>
          <w:tcPr>
            <w:tcW w:w="2268" w:type="dxa"/>
            <w:vAlign w:val="center"/>
          </w:tcPr>
          <w:p w:rsidR="00B155BB" w:rsidRPr="00CA0F5C" w:rsidRDefault="00B155BB" w:rsidP="00A9444F">
            <w:pPr>
              <w:pStyle w:val="Default"/>
              <w:jc w:val="center"/>
              <w:rPr>
                <w:b/>
                <w:sz w:val="20"/>
                <w:szCs w:val="20"/>
              </w:rPr>
            </w:pPr>
            <w:r w:rsidRPr="00CA0F5C">
              <w:rPr>
                <w:b/>
                <w:sz w:val="20"/>
                <w:szCs w:val="20"/>
              </w:rPr>
              <w:t>290.123</w:t>
            </w:r>
          </w:p>
        </w:tc>
      </w:tr>
      <w:tr w:rsidR="00B155BB" w:rsidRPr="00CA0F5C" w:rsidTr="007348F1">
        <w:trPr>
          <w:jc w:val="center"/>
        </w:trPr>
        <w:tc>
          <w:tcPr>
            <w:tcW w:w="6345" w:type="dxa"/>
          </w:tcPr>
          <w:p w:rsidR="00B155BB" w:rsidRPr="00CA0F5C" w:rsidRDefault="00B155BB" w:rsidP="00DC085B">
            <w:pPr>
              <w:pStyle w:val="Default"/>
              <w:rPr>
                <w:sz w:val="20"/>
                <w:szCs w:val="20"/>
              </w:rPr>
            </w:pPr>
            <w:r w:rsidRPr="00CA0F5C">
              <w:rPr>
                <w:sz w:val="20"/>
                <w:szCs w:val="20"/>
              </w:rPr>
              <w:t xml:space="preserve">• Close business relationships with a client that are significant or entail a material financial interest. </w:t>
            </w:r>
          </w:p>
        </w:tc>
        <w:tc>
          <w:tcPr>
            <w:tcW w:w="2268" w:type="dxa"/>
            <w:vAlign w:val="center"/>
          </w:tcPr>
          <w:p w:rsidR="00B155BB" w:rsidRPr="00CA0F5C" w:rsidRDefault="00B155BB" w:rsidP="00A9444F">
            <w:pPr>
              <w:pStyle w:val="Default"/>
              <w:jc w:val="center"/>
              <w:rPr>
                <w:b/>
                <w:sz w:val="20"/>
                <w:szCs w:val="20"/>
              </w:rPr>
            </w:pPr>
            <w:r w:rsidRPr="00CA0F5C">
              <w:rPr>
                <w:b/>
                <w:sz w:val="20"/>
                <w:szCs w:val="20"/>
              </w:rPr>
              <w:t>290.124</w:t>
            </w:r>
          </w:p>
        </w:tc>
      </w:tr>
      <w:tr w:rsidR="00B155BB" w:rsidRPr="00CA0F5C" w:rsidTr="007348F1">
        <w:trPr>
          <w:jc w:val="center"/>
        </w:trPr>
        <w:tc>
          <w:tcPr>
            <w:tcW w:w="6345" w:type="dxa"/>
          </w:tcPr>
          <w:p w:rsidR="00B155BB" w:rsidRPr="00CA0F5C" w:rsidRDefault="00B155BB" w:rsidP="00DC085B">
            <w:pPr>
              <w:pStyle w:val="Default"/>
              <w:rPr>
                <w:sz w:val="20"/>
                <w:szCs w:val="20"/>
              </w:rPr>
            </w:pPr>
            <w:r w:rsidRPr="00CA0F5C">
              <w:rPr>
                <w:sz w:val="20"/>
                <w:szCs w:val="20"/>
              </w:rPr>
              <w:t xml:space="preserve">• Audit team members whose immediate family member is a client director/officer, or an employee able to significantly influence the accounting records or financial statements. </w:t>
            </w:r>
          </w:p>
        </w:tc>
        <w:tc>
          <w:tcPr>
            <w:tcW w:w="2268" w:type="dxa"/>
            <w:vAlign w:val="center"/>
          </w:tcPr>
          <w:p w:rsidR="00B155BB" w:rsidRPr="00CA0F5C" w:rsidRDefault="00B155BB" w:rsidP="00A9444F">
            <w:pPr>
              <w:pStyle w:val="Default"/>
              <w:jc w:val="center"/>
              <w:rPr>
                <w:b/>
                <w:sz w:val="20"/>
                <w:szCs w:val="20"/>
              </w:rPr>
            </w:pPr>
            <w:r w:rsidRPr="00CA0F5C">
              <w:rPr>
                <w:b/>
                <w:sz w:val="20"/>
                <w:szCs w:val="20"/>
              </w:rPr>
              <w:t>290.128</w:t>
            </w:r>
          </w:p>
        </w:tc>
      </w:tr>
      <w:tr w:rsidR="00B155BB" w:rsidRPr="00CA0F5C" w:rsidTr="007348F1">
        <w:trPr>
          <w:jc w:val="center"/>
        </w:trPr>
        <w:tc>
          <w:tcPr>
            <w:tcW w:w="6345" w:type="dxa"/>
          </w:tcPr>
          <w:p w:rsidR="00B155BB" w:rsidRPr="00CA0F5C" w:rsidRDefault="00B155BB" w:rsidP="00DC085B">
            <w:pPr>
              <w:pStyle w:val="Default"/>
              <w:rPr>
                <w:sz w:val="20"/>
                <w:szCs w:val="20"/>
              </w:rPr>
            </w:pPr>
            <w:r w:rsidRPr="00CA0F5C">
              <w:rPr>
                <w:sz w:val="20"/>
                <w:szCs w:val="20"/>
              </w:rPr>
              <w:t xml:space="preserve">• Former audit team members or a partner joining the client if significant connections with the firm remain. </w:t>
            </w:r>
          </w:p>
        </w:tc>
        <w:tc>
          <w:tcPr>
            <w:tcW w:w="2268" w:type="dxa"/>
            <w:vAlign w:val="center"/>
          </w:tcPr>
          <w:p w:rsidR="00B155BB" w:rsidRPr="00CA0F5C" w:rsidRDefault="00B155BB" w:rsidP="00A9444F">
            <w:pPr>
              <w:pStyle w:val="Default"/>
              <w:jc w:val="center"/>
              <w:rPr>
                <w:b/>
                <w:sz w:val="20"/>
                <w:szCs w:val="20"/>
              </w:rPr>
            </w:pPr>
            <w:r w:rsidRPr="00CA0F5C">
              <w:rPr>
                <w:b/>
                <w:sz w:val="20"/>
                <w:szCs w:val="20"/>
              </w:rPr>
              <w:t>290.135</w:t>
            </w:r>
          </w:p>
        </w:tc>
      </w:tr>
      <w:tr w:rsidR="00B155BB" w:rsidRPr="00CA0F5C" w:rsidTr="007348F1">
        <w:trPr>
          <w:jc w:val="center"/>
        </w:trPr>
        <w:tc>
          <w:tcPr>
            <w:tcW w:w="6345" w:type="dxa"/>
          </w:tcPr>
          <w:p w:rsidR="00B155BB" w:rsidRPr="00CA0F5C" w:rsidRDefault="00B155BB" w:rsidP="00B531CA">
            <w:pPr>
              <w:pStyle w:val="Default"/>
              <w:rPr>
                <w:sz w:val="20"/>
                <w:szCs w:val="20"/>
              </w:rPr>
            </w:pPr>
            <w:r w:rsidRPr="00CA0F5C">
              <w:rPr>
                <w:sz w:val="20"/>
                <w:szCs w:val="20"/>
              </w:rPr>
              <w:t xml:space="preserve">• A key audit partner or senior/managing partner joining a </w:t>
            </w:r>
            <w:r>
              <w:rPr>
                <w:sz w:val="20"/>
                <w:szCs w:val="20"/>
              </w:rPr>
              <w:t xml:space="preserve">Public Interest Entity </w:t>
            </w:r>
            <w:r w:rsidRPr="00CA0F5C">
              <w:rPr>
                <w:sz w:val="20"/>
                <w:szCs w:val="20"/>
              </w:rPr>
              <w:t>client before a defined</w:t>
            </w:r>
            <w:r w:rsidR="00B531CA">
              <w:rPr>
                <w:sz w:val="20"/>
                <w:szCs w:val="20"/>
              </w:rPr>
              <w:t xml:space="preserve"> time out</w:t>
            </w:r>
            <w:r w:rsidRPr="00CA0F5C">
              <w:rPr>
                <w:sz w:val="20"/>
                <w:szCs w:val="20"/>
              </w:rPr>
              <w:t xml:space="preserve"> period </w:t>
            </w:r>
          </w:p>
        </w:tc>
        <w:tc>
          <w:tcPr>
            <w:tcW w:w="2268" w:type="dxa"/>
            <w:vAlign w:val="center"/>
          </w:tcPr>
          <w:p w:rsidR="00B155BB" w:rsidRPr="00CA0F5C" w:rsidRDefault="00B155BB" w:rsidP="00A9444F">
            <w:pPr>
              <w:pStyle w:val="Default"/>
              <w:jc w:val="center"/>
              <w:rPr>
                <w:b/>
                <w:sz w:val="20"/>
                <w:szCs w:val="20"/>
              </w:rPr>
            </w:pPr>
            <w:r w:rsidRPr="00CA0F5C">
              <w:rPr>
                <w:b/>
                <w:sz w:val="20"/>
                <w:szCs w:val="20"/>
              </w:rPr>
              <w:t>290.139</w:t>
            </w:r>
          </w:p>
        </w:tc>
      </w:tr>
      <w:tr w:rsidR="00B155BB" w:rsidRPr="00CA0F5C" w:rsidTr="007348F1">
        <w:trPr>
          <w:jc w:val="center"/>
        </w:trPr>
        <w:tc>
          <w:tcPr>
            <w:tcW w:w="6345" w:type="dxa"/>
          </w:tcPr>
          <w:p w:rsidR="00B155BB" w:rsidRPr="00CA0F5C" w:rsidRDefault="00B155BB" w:rsidP="00DC085B">
            <w:pPr>
              <w:pStyle w:val="Default"/>
              <w:rPr>
                <w:sz w:val="20"/>
                <w:szCs w:val="20"/>
              </w:rPr>
            </w:pPr>
            <w:r w:rsidRPr="00CA0F5C">
              <w:rPr>
                <w:sz w:val="20"/>
                <w:szCs w:val="20"/>
              </w:rPr>
              <w:t>• A key audit partner serving for more than 7 years</w:t>
            </w:r>
            <w:r>
              <w:rPr>
                <w:sz w:val="20"/>
                <w:szCs w:val="20"/>
              </w:rPr>
              <w:t xml:space="preserve"> on a Public Interest Entity client</w:t>
            </w:r>
            <w:r w:rsidRPr="00CA0F5C">
              <w:rPr>
                <w:sz w:val="20"/>
                <w:szCs w:val="20"/>
              </w:rPr>
              <w:t xml:space="preserve">. </w:t>
            </w:r>
          </w:p>
          <w:p w:rsidR="00B155BB" w:rsidRPr="00CA0F5C" w:rsidRDefault="00B155BB" w:rsidP="00DC085B">
            <w:pPr>
              <w:pStyle w:val="Default"/>
              <w:rPr>
                <w:sz w:val="20"/>
                <w:szCs w:val="20"/>
              </w:rPr>
            </w:pPr>
          </w:p>
        </w:tc>
        <w:tc>
          <w:tcPr>
            <w:tcW w:w="2268" w:type="dxa"/>
            <w:vAlign w:val="center"/>
          </w:tcPr>
          <w:p w:rsidR="00B155BB" w:rsidRPr="00CA0F5C" w:rsidRDefault="00B155BB" w:rsidP="00A9444F">
            <w:pPr>
              <w:pStyle w:val="Default"/>
              <w:jc w:val="center"/>
              <w:rPr>
                <w:b/>
                <w:sz w:val="20"/>
                <w:szCs w:val="20"/>
              </w:rPr>
            </w:pPr>
            <w:r w:rsidRPr="00CA0F5C">
              <w:rPr>
                <w:b/>
                <w:sz w:val="20"/>
                <w:szCs w:val="20"/>
              </w:rPr>
              <w:t>290.151</w:t>
            </w:r>
          </w:p>
        </w:tc>
      </w:tr>
      <w:tr w:rsidR="00B155BB" w:rsidRPr="00CA0F5C" w:rsidTr="007348F1">
        <w:trPr>
          <w:jc w:val="center"/>
        </w:trPr>
        <w:tc>
          <w:tcPr>
            <w:tcW w:w="6345" w:type="dxa"/>
          </w:tcPr>
          <w:p w:rsidR="00B155BB" w:rsidRPr="00CA0F5C" w:rsidRDefault="00B155BB" w:rsidP="00DC085B">
            <w:pPr>
              <w:pStyle w:val="Default"/>
              <w:rPr>
                <w:sz w:val="20"/>
                <w:szCs w:val="20"/>
              </w:rPr>
            </w:pPr>
            <w:r w:rsidRPr="00CA0F5C">
              <w:rPr>
                <w:sz w:val="20"/>
                <w:szCs w:val="20"/>
              </w:rPr>
              <w:t xml:space="preserve">• An individual being on the audit team if, during the period covered by the audit, the person was a client director/officer, or an employee able to significantly influence the accounting records or financial statements. </w:t>
            </w:r>
          </w:p>
        </w:tc>
        <w:tc>
          <w:tcPr>
            <w:tcW w:w="2268" w:type="dxa"/>
            <w:vAlign w:val="center"/>
          </w:tcPr>
          <w:p w:rsidR="00B155BB" w:rsidRPr="00CA0F5C" w:rsidRDefault="00B155BB" w:rsidP="00A9444F">
            <w:pPr>
              <w:pStyle w:val="Default"/>
              <w:jc w:val="center"/>
              <w:rPr>
                <w:b/>
                <w:sz w:val="20"/>
                <w:szCs w:val="20"/>
              </w:rPr>
            </w:pPr>
            <w:r w:rsidRPr="00CA0F5C">
              <w:rPr>
                <w:b/>
                <w:sz w:val="20"/>
                <w:szCs w:val="20"/>
              </w:rPr>
              <w:t>290.144</w:t>
            </w:r>
          </w:p>
        </w:tc>
      </w:tr>
      <w:tr w:rsidR="00B155BB" w:rsidRPr="00CA0F5C" w:rsidTr="007348F1">
        <w:trPr>
          <w:jc w:val="center"/>
        </w:trPr>
        <w:tc>
          <w:tcPr>
            <w:tcW w:w="6345" w:type="dxa"/>
          </w:tcPr>
          <w:p w:rsidR="00B155BB" w:rsidRPr="00CA0F5C" w:rsidRDefault="00B155BB" w:rsidP="00DC085B">
            <w:pPr>
              <w:pStyle w:val="Default"/>
              <w:rPr>
                <w:sz w:val="20"/>
                <w:szCs w:val="20"/>
              </w:rPr>
            </w:pPr>
            <w:r w:rsidRPr="00CA0F5C">
              <w:rPr>
                <w:sz w:val="20"/>
                <w:szCs w:val="20"/>
              </w:rPr>
              <w:t xml:space="preserve">• Partners/employees serving as a client director or officer. </w:t>
            </w:r>
          </w:p>
        </w:tc>
        <w:tc>
          <w:tcPr>
            <w:tcW w:w="2268" w:type="dxa"/>
            <w:vAlign w:val="center"/>
          </w:tcPr>
          <w:p w:rsidR="00B155BB" w:rsidRPr="00CA0F5C" w:rsidRDefault="00B155BB" w:rsidP="00A9444F">
            <w:pPr>
              <w:pStyle w:val="Default"/>
              <w:jc w:val="center"/>
              <w:rPr>
                <w:b/>
                <w:sz w:val="20"/>
                <w:szCs w:val="20"/>
              </w:rPr>
            </w:pPr>
            <w:r w:rsidRPr="00CA0F5C">
              <w:rPr>
                <w:b/>
                <w:sz w:val="20"/>
                <w:szCs w:val="20"/>
              </w:rPr>
              <w:t>290.146</w:t>
            </w:r>
          </w:p>
        </w:tc>
      </w:tr>
      <w:tr w:rsidR="00B155BB" w:rsidRPr="00CA0F5C" w:rsidTr="007348F1">
        <w:trPr>
          <w:jc w:val="center"/>
        </w:trPr>
        <w:tc>
          <w:tcPr>
            <w:tcW w:w="6345" w:type="dxa"/>
          </w:tcPr>
          <w:p w:rsidR="00B155BB" w:rsidRPr="00CA0F5C" w:rsidRDefault="00B155BB" w:rsidP="00DC085B">
            <w:pPr>
              <w:pStyle w:val="Default"/>
              <w:rPr>
                <w:sz w:val="20"/>
                <w:szCs w:val="20"/>
              </w:rPr>
            </w:pPr>
            <w:r w:rsidRPr="00CA0F5C">
              <w:rPr>
                <w:sz w:val="20"/>
                <w:szCs w:val="20"/>
              </w:rPr>
              <w:t xml:space="preserve">• Contingent fees for an audit or assurance engagement or, when material to the firm, for a non-assurance service to the audit client. </w:t>
            </w:r>
          </w:p>
        </w:tc>
        <w:tc>
          <w:tcPr>
            <w:tcW w:w="2268" w:type="dxa"/>
            <w:vAlign w:val="center"/>
          </w:tcPr>
          <w:p w:rsidR="00B155BB" w:rsidRPr="00CA0F5C" w:rsidRDefault="00B155BB" w:rsidP="00A9444F">
            <w:pPr>
              <w:pStyle w:val="Default"/>
              <w:jc w:val="center"/>
              <w:rPr>
                <w:b/>
                <w:sz w:val="20"/>
                <w:szCs w:val="20"/>
              </w:rPr>
            </w:pPr>
            <w:r w:rsidRPr="00CA0F5C">
              <w:rPr>
                <w:b/>
                <w:sz w:val="20"/>
                <w:szCs w:val="20"/>
              </w:rPr>
              <w:t>240.4A</w:t>
            </w:r>
          </w:p>
        </w:tc>
      </w:tr>
      <w:tr w:rsidR="00B155BB" w:rsidRPr="00CA0F5C" w:rsidTr="007348F1">
        <w:trPr>
          <w:jc w:val="center"/>
        </w:trPr>
        <w:tc>
          <w:tcPr>
            <w:tcW w:w="6345" w:type="dxa"/>
          </w:tcPr>
          <w:p w:rsidR="00B155BB" w:rsidRPr="00CA0F5C" w:rsidRDefault="00B155BB" w:rsidP="00DC085B">
            <w:pPr>
              <w:pStyle w:val="Default"/>
              <w:rPr>
                <w:sz w:val="20"/>
                <w:szCs w:val="20"/>
              </w:rPr>
            </w:pPr>
            <w:r w:rsidRPr="00CA0F5C">
              <w:rPr>
                <w:sz w:val="20"/>
                <w:szCs w:val="20"/>
              </w:rPr>
              <w:t xml:space="preserve">• Accepting gifts or hospitality from the client that is other than trivial and inconsequential. </w:t>
            </w:r>
          </w:p>
        </w:tc>
        <w:tc>
          <w:tcPr>
            <w:tcW w:w="2268" w:type="dxa"/>
            <w:vAlign w:val="center"/>
          </w:tcPr>
          <w:p w:rsidR="00B155BB" w:rsidRPr="00CA0F5C" w:rsidRDefault="00B155BB" w:rsidP="00A9444F">
            <w:pPr>
              <w:pStyle w:val="Default"/>
              <w:jc w:val="center"/>
              <w:rPr>
                <w:b/>
                <w:sz w:val="20"/>
                <w:szCs w:val="20"/>
              </w:rPr>
            </w:pPr>
            <w:r w:rsidRPr="00CA0F5C">
              <w:rPr>
                <w:b/>
                <w:sz w:val="20"/>
                <w:szCs w:val="20"/>
              </w:rPr>
              <w:t>290.230</w:t>
            </w:r>
          </w:p>
        </w:tc>
      </w:tr>
    </w:tbl>
    <w:p w:rsidR="009D48E4" w:rsidRDefault="009D48E4" w:rsidP="009D48E4">
      <w:pPr>
        <w:pStyle w:val="EndnoteText"/>
        <w:rPr>
          <w:rFonts w:ascii="Arial" w:hAnsi="Arial" w:cs="Arial"/>
          <w:color w:val="000000"/>
          <w:sz w:val="16"/>
          <w:szCs w:val="16"/>
        </w:rPr>
      </w:pPr>
    </w:p>
    <w:p w:rsidR="009D48E4" w:rsidRPr="00857B63" w:rsidRDefault="009D48E4" w:rsidP="009D48E4">
      <w:pPr>
        <w:pStyle w:val="EndnoteText"/>
        <w:rPr>
          <w:rStyle w:val="Hyperlink"/>
          <w:sz w:val="16"/>
          <w:szCs w:val="16"/>
        </w:rPr>
      </w:pPr>
      <w:r w:rsidRPr="00910FD8">
        <w:rPr>
          <w:rFonts w:ascii="Arial" w:hAnsi="Arial" w:cs="Arial"/>
          <w:color w:val="000000"/>
        </w:rPr>
        <w:t>This high level summary is not a substitute for reading the IRBA Code of Professional Conduct, which provides details on the application of these prohibitions. Please refer to</w:t>
      </w:r>
      <w:r w:rsidRPr="009D48E4">
        <w:rPr>
          <w:rFonts w:ascii="Arial" w:hAnsi="Arial" w:cs="Arial"/>
        </w:rPr>
        <w:t xml:space="preserve"> </w:t>
      </w:r>
      <w:hyperlink r:id="rId9" w:history="1">
        <w:r w:rsidR="00C22EA7" w:rsidRPr="005F3269">
          <w:rPr>
            <w:rStyle w:val="Hyperlink"/>
            <w:rFonts w:ascii="Arial" w:hAnsi="Arial" w:cs="Arial"/>
          </w:rPr>
          <w:t>www.ir</w:t>
        </w:r>
        <w:bookmarkStart w:id="1" w:name="_GoBack"/>
        <w:bookmarkEnd w:id="1"/>
        <w:r w:rsidR="00C22EA7" w:rsidRPr="005F3269">
          <w:rPr>
            <w:rStyle w:val="Hyperlink"/>
            <w:rFonts w:ascii="Arial" w:hAnsi="Arial" w:cs="Arial"/>
          </w:rPr>
          <w:t>b</w:t>
        </w:r>
        <w:r w:rsidR="00C22EA7" w:rsidRPr="005F3269">
          <w:rPr>
            <w:rStyle w:val="Hyperlink"/>
            <w:rFonts w:ascii="Arial" w:hAnsi="Arial" w:cs="Arial"/>
          </w:rPr>
          <w:t>a.co.za</w:t>
        </w:r>
      </w:hyperlink>
      <w:r w:rsidR="00C22EA7">
        <w:rPr>
          <w:rFonts w:ascii="Arial" w:hAnsi="Arial" w:cs="Arial"/>
        </w:rPr>
        <w:t xml:space="preserve"> .</w:t>
      </w:r>
    </w:p>
    <w:p w:rsidR="009D48E4" w:rsidRDefault="009D48E4" w:rsidP="009D48E4">
      <w:pPr>
        <w:keepNext/>
        <w:keepLines/>
        <w:spacing w:after="120"/>
        <w:jc w:val="both"/>
        <w:rPr>
          <w:rFonts w:ascii="Arial" w:hAnsi="Arial" w:cs="Arial"/>
          <w:color w:val="000000"/>
          <w:sz w:val="20"/>
          <w:szCs w:val="20"/>
        </w:rPr>
      </w:pPr>
    </w:p>
    <w:p w:rsidR="009D48E4" w:rsidRPr="005F1F75" w:rsidRDefault="009D48E4" w:rsidP="009D48E4">
      <w:pPr>
        <w:keepNext/>
        <w:keepLines/>
        <w:spacing w:after="120"/>
        <w:jc w:val="both"/>
        <w:rPr>
          <w:rFonts w:ascii="Arial" w:hAnsi="Arial" w:cs="Arial"/>
          <w:sz w:val="20"/>
          <w:szCs w:val="20"/>
        </w:rPr>
      </w:pPr>
      <w:r w:rsidRPr="005F1F75">
        <w:rPr>
          <w:rFonts w:ascii="Arial" w:hAnsi="Arial" w:cs="Arial"/>
          <w:color w:val="000000"/>
          <w:sz w:val="20"/>
          <w:szCs w:val="20"/>
        </w:rPr>
        <w:t xml:space="preserve">If you have any further questions please contact the Director: Standards at 087-940-8871 or </w:t>
      </w:r>
      <w:r w:rsidRPr="005F1F75">
        <w:rPr>
          <w:rFonts w:ascii="Arial" w:hAnsi="Arial" w:cs="Arial"/>
          <w:sz w:val="20"/>
          <w:szCs w:val="20"/>
        </w:rPr>
        <w:t xml:space="preserve">send an email to </w:t>
      </w:r>
      <w:hyperlink r:id="rId10" w:history="1">
        <w:r w:rsidRPr="005F1F75">
          <w:rPr>
            <w:rFonts w:ascii="Arial" w:hAnsi="Arial" w:cs="Arial"/>
            <w:color w:val="3300CC"/>
            <w:sz w:val="20"/>
            <w:szCs w:val="20"/>
            <w:u w:val="single"/>
          </w:rPr>
          <w:t>standards@irba.co.za</w:t>
        </w:r>
      </w:hyperlink>
      <w:r w:rsidRPr="005F1F75">
        <w:rPr>
          <w:rFonts w:ascii="Arial" w:hAnsi="Arial" w:cs="Arial"/>
          <w:sz w:val="20"/>
          <w:szCs w:val="20"/>
        </w:rPr>
        <w:t>.</w:t>
      </w:r>
    </w:p>
    <w:p w:rsidR="009D48E4" w:rsidRPr="005F1F75" w:rsidRDefault="009D48E4" w:rsidP="009D48E4">
      <w:pPr>
        <w:keepNext/>
        <w:keepLines/>
        <w:spacing w:after="120"/>
        <w:jc w:val="both"/>
        <w:textAlignment w:val="top"/>
        <w:rPr>
          <w:rFonts w:ascii="Arial" w:hAnsi="Arial" w:cs="Arial"/>
          <w:b/>
          <w:sz w:val="20"/>
          <w:szCs w:val="20"/>
          <w:lang w:val="en-GB"/>
        </w:rPr>
      </w:pPr>
      <w:r w:rsidRPr="005F1F75">
        <w:rPr>
          <w:rFonts w:ascii="Arial" w:hAnsi="Arial" w:cs="Arial"/>
          <w:b/>
          <w:sz w:val="20"/>
          <w:szCs w:val="20"/>
          <w:lang w:val="en-GB"/>
        </w:rPr>
        <w:t>Sandy van Esch</w:t>
      </w:r>
    </w:p>
    <w:p w:rsidR="009D48E4" w:rsidRPr="005F1F75" w:rsidRDefault="009D48E4" w:rsidP="009D48E4">
      <w:pPr>
        <w:keepNext/>
        <w:keepLines/>
        <w:spacing w:after="120"/>
        <w:jc w:val="both"/>
        <w:textAlignment w:val="top"/>
        <w:rPr>
          <w:rFonts w:ascii="Arial" w:hAnsi="Arial" w:cs="Arial"/>
          <w:b/>
          <w:sz w:val="20"/>
          <w:szCs w:val="20"/>
          <w:lang w:val="en-GB"/>
        </w:rPr>
      </w:pPr>
      <w:r w:rsidRPr="005F1F75">
        <w:rPr>
          <w:rFonts w:ascii="Arial" w:hAnsi="Arial" w:cs="Arial"/>
          <w:b/>
          <w:sz w:val="20"/>
          <w:szCs w:val="20"/>
          <w:lang w:val="en-GB"/>
        </w:rPr>
        <w:t>Director: Standards</w:t>
      </w:r>
    </w:p>
    <w:p w:rsidR="009D48E4" w:rsidRPr="00427C10" w:rsidRDefault="009D48E4" w:rsidP="009D48E4">
      <w:pPr>
        <w:keepNext/>
        <w:keepLines/>
        <w:spacing w:after="120"/>
        <w:jc w:val="both"/>
        <w:rPr>
          <w:rFonts w:ascii="Arial" w:hAnsi="Arial" w:cs="Arial"/>
          <w:b/>
          <w:i/>
          <w:noProof/>
          <w:sz w:val="20"/>
          <w:szCs w:val="20"/>
          <w:lang w:val="en-GB"/>
        </w:rPr>
      </w:pPr>
      <w:r w:rsidRPr="005F1F75">
        <w:rPr>
          <w:rFonts w:ascii="Arial" w:hAnsi="Arial" w:cs="Arial"/>
          <w:b/>
          <w:i/>
          <w:noProof/>
          <w:sz w:val="20"/>
          <w:szCs w:val="20"/>
          <w:lang w:val="en-GB"/>
        </w:rPr>
        <w:t>About the IRBA</w:t>
      </w:r>
    </w:p>
    <w:p w:rsidR="009D48E4" w:rsidRDefault="009D48E4" w:rsidP="009D48E4">
      <w:pPr>
        <w:pStyle w:val="FootnoteText"/>
        <w:rPr>
          <w:rFonts w:ascii="Arial" w:hAnsi="Arial" w:cs="Arial"/>
          <w:sz w:val="16"/>
          <w:szCs w:val="16"/>
        </w:rPr>
      </w:pPr>
      <w:r w:rsidRPr="005F1F75">
        <w:rPr>
          <w:rFonts w:ascii="Arial" w:hAnsi="Arial" w:cs="Arial"/>
          <w:i/>
          <w:noProof/>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The Committee for </w:t>
      </w:r>
      <w:r>
        <w:rPr>
          <w:rFonts w:ascii="Arial" w:hAnsi="Arial" w:cs="Arial"/>
          <w:i/>
          <w:noProof/>
          <w:lang w:val="en-GB"/>
        </w:rPr>
        <w:t>Ethics</w:t>
      </w:r>
      <w:r w:rsidRPr="005F1F75">
        <w:rPr>
          <w:rFonts w:ascii="Arial" w:hAnsi="Arial" w:cs="Arial"/>
          <w:i/>
          <w:noProof/>
          <w:lang w:val="en-GB"/>
        </w:rPr>
        <w:t xml:space="preserve"> assists the IRBA to develop and maintain </w:t>
      </w:r>
      <w:r>
        <w:rPr>
          <w:rFonts w:ascii="Arial" w:hAnsi="Arial" w:cs="Arial"/>
          <w:i/>
          <w:noProof/>
          <w:lang w:val="en-GB"/>
        </w:rPr>
        <w:t>ethical</w:t>
      </w:r>
      <w:r w:rsidRPr="005F1F75">
        <w:rPr>
          <w:rFonts w:ascii="Arial" w:hAnsi="Arial" w:cs="Arial"/>
          <w:i/>
          <w:noProof/>
          <w:lang w:val="en-GB"/>
        </w:rPr>
        <w:t xml:space="preserve"> pronouncements which are internationally comparable</w:t>
      </w:r>
      <w:r>
        <w:rPr>
          <w:rFonts w:ascii="Arial" w:hAnsi="Arial" w:cs="Arial"/>
          <w:i/>
          <w:noProof/>
          <w:lang w:val="en-GB"/>
        </w:rPr>
        <w:t>.</w:t>
      </w:r>
    </w:p>
    <w:p w:rsidR="00427C10" w:rsidRPr="00CA0F5C" w:rsidRDefault="00427C10" w:rsidP="00427C10">
      <w:pPr>
        <w:pStyle w:val="FootnoteText"/>
        <w:rPr>
          <w:rFonts w:ascii="Arial" w:hAnsi="Arial" w:cs="Arial"/>
          <w:sz w:val="16"/>
          <w:szCs w:val="16"/>
        </w:rPr>
      </w:pPr>
    </w:p>
    <w:sectPr w:rsidR="00427C10" w:rsidRPr="00CA0F5C" w:rsidSect="00857B63">
      <w:pgSz w:w="11907" w:h="16839" w:code="9"/>
      <w:pgMar w:top="1032" w:right="567" w:bottom="873" w:left="709"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5EE" w:rsidRDefault="009A25EE" w:rsidP="00070673">
      <w:pPr>
        <w:spacing w:after="0" w:line="240" w:lineRule="auto"/>
      </w:pPr>
      <w:r>
        <w:separator/>
      </w:r>
    </w:p>
  </w:endnote>
  <w:endnote w:type="continuationSeparator" w:id="0">
    <w:p w:rsidR="009A25EE" w:rsidRDefault="009A25EE" w:rsidP="0007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5EE" w:rsidRDefault="009A25EE" w:rsidP="00070673">
      <w:pPr>
        <w:spacing w:after="0" w:line="240" w:lineRule="auto"/>
      </w:pPr>
      <w:r>
        <w:separator/>
      </w:r>
    </w:p>
  </w:footnote>
  <w:footnote w:type="continuationSeparator" w:id="0">
    <w:p w:rsidR="009A25EE" w:rsidRDefault="009A25EE" w:rsidP="00070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A6F7D"/>
    <w:multiLevelType w:val="hybridMultilevel"/>
    <w:tmpl w:val="CDE696E0"/>
    <w:lvl w:ilvl="0" w:tplc="4F1089B0">
      <w:start w:val="1"/>
      <w:numFmt w:val="decimal"/>
      <w:lvlText w:val="%1)"/>
      <w:lvlJc w:val="left"/>
      <w:pPr>
        <w:ind w:left="720" w:hanging="6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779B3D8B"/>
    <w:multiLevelType w:val="hybridMultilevel"/>
    <w:tmpl w:val="13BC5A08"/>
    <w:lvl w:ilvl="0" w:tplc="1C090011">
      <w:start w:val="1"/>
      <w:numFmt w:val="decimal"/>
      <w:lvlText w:val="%1)"/>
      <w:lvlJc w:val="left"/>
      <w:pPr>
        <w:ind w:left="720" w:hanging="6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673"/>
    <w:rsid w:val="00043094"/>
    <w:rsid w:val="00070673"/>
    <w:rsid w:val="000A04FE"/>
    <w:rsid w:val="000A2B3B"/>
    <w:rsid w:val="000E42D9"/>
    <w:rsid w:val="00114D8B"/>
    <w:rsid w:val="001E59FB"/>
    <w:rsid w:val="00246A0D"/>
    <w:rsid w:val="00275BA7"/>
    <w:rsid w:val="002A6832"/>
    <w:rsid w:val="002F6EDB"/>
    <w:rsid w:val="00304751"/>
    <w:rsid w:val="00323978"/>
    <w:rsid w:val="003332E1"/>
    <w:rsid w:val="00336D54"/>
    <w:rsid w:val="00427C10"/>
    <w:rsid w:val="00474870"/>
    <w:rsid w:val="00485F3B"/>
    <w:rsid w:val="00490871"/>
    <w:rsid w:val="004F50FC"/>
    <w:rsid w:val="005100BE"/>
    <w:rsid w:val="005375B3"/>
    <w:rsid w:val="00593B9B"/>
    <w:rsid w:val="005B1400"/>
    <w:rsid w:val="005C2BF9"/>
    <w:rsid w:val="005C420A"/>
    <w:rsid w:val="005C53FC"/>
    <w:rsid w:val="00640632"/>
    <w:rsid w:val="00680F07"/>
    <w:rsid w:val="00690712"/>
    <w:rsid w:val="007348F1"/>
    <w:rsid w:val="007C0DFB"/>
    <w:rsid w:val="008161AF"/>
    <w:rsid w:val="00857B63"/>
    <w:rsid w:val="00867BCE"/>
    <w:rsid w:val="00910FD8"/>
    <w:rsid w:val="009332CA"/>
    <w:rsid w:val="00997EA3"/>
    <w:rsid w:val="009A0A78"/>
    <w:rsid w:val="009A25EE"/>
    <w:rsid w:val="009B1D94"/>
    <w:rsid w:val="009D48E4"/>
    <w:rsid w:val="009D665B"/>
    <w:rsid w:val="00A9444F"/>
    <w:rsid w:val="00AE22C3"/>
    <w:rsid w:val="00B155BB"/>
    <w:rsid w:val="00B17A7C"/>
    <w:rsid w:val="00B3028D"/>
    <w:rsid w:val="00B4798B"/>
    <w:rsid w:val="00B531CA"/>
    <w:rsid w:val="00C017D0"/>
    <w:rsid w:val="00C22EA7"/>
    <w:rsid w:val="00C24D00"/>
    <w:rsid w:val="00C50D73"/>
    <w:rsid w:val="00C63548"/>
    <w:rsid w:val="00C63F4B"/>
    <w:rsid w:val="00C67594"/>
    <w:rsid w:val="00C83A30"/>
    <w:rsid w:val="00CA0F5C"/>
    <w:rsid w:val="00CC3614"/>
    <w:rsid w:val="00CD599B"/>
    <w:rsid w:val="00CF3BE8"/>
    <w:rsid w:val="00DB723F"/>
    <w:rsid w:val="00DC085B"/>
    <w:rsid w:val="00E811BB"/>
    <w:rsid w:val="00E817F0"/>
    <w:rsid w:val="00F16078"/>
    <w:rsid w:val="00F410F8"/>
    <w:rsid w:val="00FA49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14AFF-9289-42BF-B626-30A7902A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067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7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70673"/>
    <w:pPr>
      <w:spacing w:after="0" w:line="240" w:lineRule="auto"/>
    </w:pPr>
    <w:rPr>
      <w:sz w:val="20"/>
      <w:szCs w:val="20"/>
    </w:rPr>
  </w:style>
  <w:style w:type="character" w:customStyle="1" w:styleId="FootnoteTextChar">
    <w:name w:val="Footnote Text Char"/>
    <w:basedOn w:val="DefaultParagraphFont"/>
    <w:link w:val="FootnoteText"/>
    <w:uiPriority w:val="99"/>
    <w:rsid w:val="00070673"/>
    <w:rPr>
      <w:sz w:val="20"/>
      <w:szCs w:val="20"/>
    </w:rPr>
  </w:style>
  <w:style w:type="character" w:styleId="FootnoteReference">
    <w:name w:val="footnote reference"/>
    <w:basedOn w:val="DefaultParagraphFont"/>
    <w:uiPriority w:val="99"/>
    <w:semiHidden/>
    <w:unhideWhenUsed/>
    <w:rsid w:val="00070673"/>
    <w:rPr>
      <w:vertAlign w:val="superscript"/>
    </w:rPr>
  </w:style>
  <w:style w:type="character" w:styleId="Hyperlink">
    <w:name w:val="Hyperlink"/>
    <w:basedOn w:val="DefaultParagraphFont"/>
    <w:uiPriority w:val="99"/>
    <w:unhideWhenUsed/>
    <w:rsid w:val="00485F3B"/>
    <w:rPr>
      <w:color w:val="0000FF" w:themeColor="hyperlink"/>
      <w:u w:val="single"/>
    </w:rPr>
  </w:style>
  <w:style w:type="character" w:styleId="CommentReference">
    <w:name w:val="annotation reference"/>
    <w:basedOn w:val="DefaultParagraphFont"/>
    <w:uiPriority w:val="99"/>
    <w:semiHidden/>
    <w:unhideWhenUsed/>
    <w:rsid w:val="00A9444F"/>
    <w:rPr>
      <w:sz w:val="16"/>
      <w:szCs w:val="16"/>
    </w:rPr>
  </w:style>
  <w:style w:type="paragraph" w:styleId="CommentText">
    <w:name w:val="annotation text"/>
    <w:basedOn w:val="Normal"/>
    <w:link w:val="CommentTextChar"/>
    <w:uiPriority w:val="99"/>
    <w:semiHidden/>
    <w:unhideWhenUsed/>
    <w:rsid w:val="00A9444F"/>
    <w:pPr>
      <w:spacing w:line="240" w:lineRule="auto"/>
    </w:pPr>
    <w:rPr>
      <w:sz w:val="20"/>
      <w:szCs w:val="20"/>
    </w:rPr>
  </w:style>
  <w:style w:type="character" w:customStyle="1" w:styleId="CommentTextChar">
    <w:name w:val="Comment Text Char"/>
    <w:basedOn w:val="DefaultParagraphFont"/>
    <w:link w:val="CommentText"/>
    <w:uiPriority w:val="99"/>
    <w:semiHidden/>
    <w:rsid w:val="00A9444F"/>
    <w:rPr>
      <w:sz w:val="20"/>
      <w:szCs w:val="20"/>
    </w:rPr>
  </w:style>
  <w:style w:type="paragraph" w:styleId="CommentSubject">
    <w:name w:val="annotation subject"/>
    <w:basedOn w:val="CommentText"/>
    <w:next w:val="CommentText"/>
    <w:link w:val="CommentSubjectChar"/>
    <w:uiPriority w:val="99"/>
    <w:semiHidden/>
    <w:unhideWhenUsed/>
    <w:rsid w:val="00A9444F"/>
    <w:rPr>
      <w:b/>
      <w:bCs/>
    </w:rPr>
  </w:style>
  <w:style w:type="character" w:customStyle="1" w:styleId="CommentSubjectChar">
    <w:name w:val="Comment Subject Char"/>
    <w:basedOn w:val="CommentTextChar"/>
    <w:link w:val="CommentSubject"/>
    <w:uiPriority w:val="99"/>
    <w:semiHidden/>
    <w:rsid w:val="00A9444F"/>
    <w:rPr>
      <w:b/>
      <w:bCs/>
      <w:sz w:val="20"/>
      <w:szCs w:val="20"/>
    </w:rPr>
  </w:style>
  <w:style w:type="paragraph" w:styleId="BalloonText">
    <w:name w:val="Balloon Text"/>
    <w:basedOn w:val="Normal"/>
    <w:link w:val="BalloonTextChar"/>
    <w:uiPriority w:val="99"/>
    <w:semiHidden/>
    <w:unhideWhenUsed/>
    <w:rsid w:val="00A94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44F"/>
    <w:rPr>
      <w:rFonts w:ascii="Tahoma" w:hAnsi="Tahoma" w:cs="Tahoma"/>
      <w:sz w:val="16"/>
      <w:szCs w:val="16"/>
    </w:rPr>
  </w:style>
  <w:style w:type="paragraph" w:styleId="NormalWeb">
    <w:name w:val="Normal (Web)"/>
    <w:basedOn w:val="Normal"/>
    <w:rsid w:val="00E811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811BB"/>
    <w:pPr>
      <w:ind w:left="720"/>
      <w:contextualSpacing/>
    </w:pPr>
    <w:rPr>
      <w:rFonts w:ascii="Calibri" w:eastAsia="Calibri" w:hAnsi="Calibri" w:cs="Times New Roman"/>
    </w:rPr>
  </w:style>
  <w:style w:type="character" w:customStyle="1" w:styleId="blue">
    <w:name w:val="blue"/>
    <w:basedOn w:val="DefaultParagraphFont"/>
    <w:rsid w:val="009B1D94"/>
  </w:style>
  <w:style w:type="paragraph" w:styleId="EndnoteText">
    <w:name w:val="endnote text"/>
    <w:basedOn w:val="Normal"/>
    <w:link w:val="EndnoteTextChar"/>
    <w:uiPriority w:val="99"/>
    <w:semiHidden/>
    <w:unhideWhenUsed/>
    <w:rsid w:val="009B1D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1D94"/>
    <w:rPr>
      <w:sz w:val="20"/>
      <w:szCs w:val="20"/>
    </w:rPr>
  </w:style>
  <w:style w:type="character" w:styleId="EndnoteReference">
    <w:name w:val="endnote reference"/>
    <w:basedOn w:val="DefaultParagraphFont"/>
    <w:uiPriority w:val="99"/>
    <w:semiHidden/>
    <w:unhideWhenUsed/>
    <w:rsid w:val="009B1D94"/>
    <w:rPr>
      <w:vertAlign w:val="superscript"/>
    </w:rPr>
  </w:style>
  <w:style w:type="character" w:styleId="FollowedHyperlink">
    <w:name w:val="FollowedHyperlink"/>
    <w:basedOn w:val="DefaultParagraphFont"/>
    <w:uiPriority w:val="99"/>
    <w:semiHidden/>
    <w:unhideWhenUsed/>
    <w:rsid w:val="009D48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iesba-code-ethics-high-level-summary-prohibitions-applicable-audits-publi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ndards@irba.co.za" TargetMode="External"/><Relationship Id="rId4" Type="http://schemas.openxmlformats.org/officeDocument/2006/relationships/settings" Target="settings.xml"/><Relationship Id="rId9" Type="http://schemas.openxmlformats.org/officeDocument/2006/relationships/hyperlink" Target="http://www.irba.co.za/guidance-to-ras/technical-guidance-for-auditors/ethics:-the-rules-and-the-code/the-rules-and-the-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A6BFD-674F-46CA-A2D4-FBE88198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Saadiya Adam</dc:creator>
  <cp:lastModifiedBy>Henriette Fortuin</cp:lastModifiedBy>
  <cp:revision>4</cp:revision>
  <cp:lastPrinted>2012-10-09T05:59:00Z</cp:lastPrinted>
  <dcterms:created xsi:type="dcterms:W3CDTF">2016-06-22T09:12:00Z</dcterms:created>
  <dcterms:modified xsi:type="dcterms:W3CDTF">2016-07-26T13:12:00Z</dcterms:modified>
</cp:coreProperties>
</file>