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962"/>
      </w:tblGrid>
      <w:tr w:rsidR="00C81E24" w14:paraId="0CE18C71" w14:textId="77777777" w:rsidTr="00C81E24">
        <w:tc>
          <w:tcPr>
            <w:tcW w:w="9962" w:type="dxa"/>
            <w:tcBorders>
              <w:top w:val="single" w:sz="4" w:space="0" w:color="auto"/>
              <w:left w:val="nil"/>
              <w:bottom w:val="single" w:sz="4" w:space="0" w:color="auto"/>
              <w:right w:val="nil"/>
            </w:tcBorders>
          </w:tcPr>
          <w:p w14:paraId="75B2F7C7" w14:textId="77777777" w:rsidR="00C81E24" w:rsidRPr="00F76271" w:rsidRDefault="00C81E24" w:rsidP="00C81E24">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6F398649" w14:textId="6DD8870D" w:rsidR="00C81E24" w:rsidRDefault="00C81E24" w:rsidP="00C81E24">
            <w:pPr>
              <w:jc w:val="center"/>
              <w:rPr>
                <w:rFonts w:ascii="Arial" w:hAnsi="Arial" w:cs="Arial"/>
              </w:rPr>
            </w:pPr>
            <w:r w:rsidRPr="00F76271">
              <w:rPr>
                <w:rFonts w:ascii="Arial" w:hAnsi="Arial" w:cs="Arial"/>
                <w:b/>
                <w:bCs/>
                <w:color w:val="000000"/>
                <w:lang w:val="en-GB"/>
              </w:rPr>
              <w:t>COMMITTEE FOR AUDITING STANDARDS</w:t>
            </w:r>
          </w:p>
        </w:tc>
      </w:tr>
    </w:tbl>
    <w:p w14:paraId="2B11E9EE" w14:textId="77777777" w:rsidR="00981C35" w:rsidRPr="00F76271" w:rsidRDefault="00981C35">
      <w:pPr>
        <w:rPr>
          <w:rFonts w:ascii="Arial" w:hAnsi="Arial" w:cs="Arial"/>
        </w:rPr>
      </w:pPr>
    </w:p>
    <w:tbl>
      <w:tblPr>
        <w:tblStyle w:val="TableGrid"/>
        <w:tblW w:w="0" w:type="auto"/>
        <w:tblLook w:val="04A0" w:firstRow="1" w:lastRow="0" w:firstColumn="1" w:lastColumn="0" w:noHBand="0" w:noVBand="1"/>
      </w:tblPr>
      <w:tblGrid>
        <w:gridCol w:w="9962"/>
      </w:tblGrid>
      <w:tr w:rsidR="00C81E24" w14:paraId="795D88B3" w14:textId="77777777" w:rsidTr="00C81E24">
        <w:tc>
          <w:tcPr>
            <w:tcW w:w="9962" w:type="dxa"/>
            <w:tcBorders>
              <w:top w:val="nil"/>
              <w:left w:val="nil"/>
              <w:bottom w:val="nil"/>
              <w:right w:val="nil"/>
            </w:tcBorders>
          </w:tcPr>
          <w:p w14:paraId="1CC2E885" w14:textId="77777777" w:rsidR="00C81E24" w:rsidRPr="009A4EED" w:rsidRDefault="00C81E24" w:rsidP="00C81E24">
            <w:pPr>
              <w:spacing w:after="120"/>
              <w:jc w:val="center"/>
              <w:rPr>
                <w:rFonts w:ascii="Arial" w:hAnsi="Arial" w:cs="Arial"/>
                <w:b/>
                <w:sz w:val="22"/>
                <w:szCs w:val="22"/>
              </w:rPr>
            </w:pPr>
            <w:r>
              <w:rPr>
                <w:rFonts w:ascii="Arial" w:hAnsi="Arial" w:cs="Arial"/>
                <w:b/>
                <w:sz w:val="22"/>
                <w:szCs w:val="22"/>
              </w:rPr>
              <w:t>IAASB</w:t>
            </w:r>
            <w:r w:rsidRPr="009A4EED">
              <w:rPr>
                <w:rFonts w:ascii="Arial" w:hAnsi="Arial" w:cs="Arial"/>
                <w:b/>
                <w:sz w:val="22"/>
                <w:szCs w:val="22"/>
              </w:rPr>
              <w:t xml:space="preserve"> Releases Working Group P</w:t>
            </w:r>
            <w:r>
              <w:rPr>
                <w:rFonts w:ascii="Arial" w:hAnsi="Arial" w:cs="Arial"/>
                <w:b/>
                <w:sz w:val="22"/>
                <w:szCs w:val="22"/>
              </w:rPr>
              <w:t>aper on Supporting Credibility and Trust i</w:t>
            </w:r>
            <w:r w:rsidRPr="009A4EED">
              <w:rPr>
                <w:rFonts w:ascii="Arial" w:hAnsi="Arial" w:cs="Arial"/>
                <w:b/>
                <w:sz w:val="22"/>
                <w:szCs w:val="22"/>
              </w:rPr>
              <w:t>n Emergi</w:t>
            </w:r>
            <w:r>
              <w:rPr>
                <w:rFonts w:ascii="Arial" w:hAnsi="Arial" w:cs="Arial"/>
                <w:b/>
                <w:sz w:val="22"/>
                <w:szCs w:val="22"/>
              </w:rPr>
              <w:t>ng Forms of External Reporting</w:t>
            </w:r>
          </w:p>
          <w:p w14:paraId="7C5EEF7C" w14:textId="77777777" w:rsidR="00C81E24" w:rsidRPr="00F76271" w:rsidRDefault="00C81E24" w:rsidP="00C81E24">
            <w:pPr>
              <w:spacing w:before="120" w:after="120"/>
              <w:jc w:val="center"/>
              <w:rPr>
                <w:rFonts w:ascii="Arial" w:hAnsi="Arial" w:cs="Arial"/>
                <w:sz w:val="22"/>
                <w:szCs w:val="22"/>
                <w:lang w:val="en-GB"/>
              </w:rPr>
            </w:pPr>
            <w:r>
              <w:rPr>
                <w:rFonts w:ascii="Arial" w:hAnsi="Arial" w:cs="Arial"/>
                <w:sz w:val="22"/>
                <w:szCs w:val="22"/>
                <w:lang w:val="en-GB"/>
              </w:rPr>
              <w:t>Johannesburg / 12 September 2016</w:t>
            </w:r>
          </w:p>
          <w:p w14:paraId="61165896" w14:textId="77777777" w:rsidR="00C81E24" w:rsidRDefault="00C81E24" w:rsidP="00C81E24"/>
          <w:p w14:paraId="1BACF3B8" w14:textId="40949945" w:rsidR="00C81E24" w:rsidRDefault="00C81E24" w:rsidP="00C81E24">
            <w:pPr>
              <w:pStyle w:val="NormalWeb"/>
              <w:spacing w:before="0" w:beforeAutospacing="0" w:after="120" w:afterAutospacing="0"/>
              <w:jc w:val="both"/>
              <w:rPr>
                <w:rFonts w:ascii="Arial" w:hAnsi="Arial" w:cs="Arial"/>
                <w:sz w:val="22"/>
                <w:szCs w:val="22"/>
              </w:rPr>
            </w:pPr>
            <w:r w:rsidRPr="009A4EED">
              <w:rPr>
                <w:rFonts w:ascii="Arial" w:hAnsi="Arial" w:cs="Arial"/>
                <w:sz w:val="22"/>
                <w:szCs w:val="22"/>
              </w:rPr>
              <w:t>The International Auditing and Assurance Standards Board</w:t>
            </w:r>
            <w:r>
              <w:rPr>
                <w:rFonts w:ascii="Calibri" w:hAnsi="Calibri" w:cs="Arial"/>
                <w:sz w:val="22"/>
                <w:szCs w:val="22"/>
              </w:rPr>
              <w:t>'</w:t>
            </w:r>
            <w:r>
              <w:rPr>
                <w:rFonts w:ascii="Arial" w:hAnsi="Arial" w:cs="Arial"/>
                <w:sz w:val="22"/>
                <w:szCs w:val="22"/>
              </w:rPr>
              <w:t>s</w:t>
            </w:r>
            <w:r w:rsidRPr="009A4EED">
              <w:rPr>
                <w:rFonts w:ascii="Arial" w:hAnsi="Arial" w:cs="Arial"/>
                <w:sz w:val="22"/>
                <w:szCs w:val="22"/>
              </w:rPr>
              <w:t xml:space="preserve"> (IAASB) Integrated Reporting Working Group</w:t>
            </w:r>
            <w:r>
              <w:rPr>
                <w:rFonts w:ascii="Arial" w:hAnsi="Arial" w:cs="Arial"/>
                <w:sz w:val="22"/>
                <w:szCs w:val="22"/>
              </w:rPr>
              <w:t xml:space="preserve"> (IRWG)</w:t>
            </w:r>
            <w:r w:rsidRPr="009A4EED">
              <w:rPr>
                <w:rFonts w:ascii="Arial" w:hAnsi="Arial" w:cs="Arial"/>
                <w:sz w:val="22"/>
                <w:szCs w:val="22"/>
              </w:rPr>
              <w:t xml:space="preserve"> has released a Discussion Paper, </w:t>
            </w:r>
            <w:r w:rsidRPr="009A4EED">
              <w:rPr>
                <w:rFonts w:ascii="Arial" w:hAnsi="Arial" w:cs="Arial"/>
                <w:i/>
                <w:sz w:val="22"/>
                <w:szCs w:val="22"/>
              </w:rPr>
              <w:t>Supporting Credibility and Trust in Emerging Forms of External Reporting: Ten Key Challenges for Assurance Engagements</w:t>
            </w:r>
            <w:r w:rsidRPr="009A4EED">
              <w:rPr>
                <w:rFonts w:ascii="Arial" w:hAnsi="Arial" w:cs="Arial"/>
                <w:sz w:val="22"/>
                <w:szCs w:val="22"/>
              </w:rPr>
              <w:t>.</w:t>
            </w:r>
            <w:r>
              <w:rPr>
                <w:rFonts w:ascii="Arial" w:hAnsi="Arial" w:cs="Arial"/>
                <w:sz w:val="22"/>
                <w:szCs w:val="22"/>
              </w:rPr>
              <w:t xml:space="preserve"> The IRWG, which released the Discussion Paper on 18 August 2016, is</w:t>
            </w:r>
            <w:r w:rsidRPr="009A4EED">
              <w:rPr>
                <w:rFonts w:ascii="Arial" w:hAnsi="Arial" w:cs="Arial"/>
                <w:sz w:val="22"/>
                <w:szCs w:val="22"/>
              </w:rPr>
              <w:t xml:space="preserve"> dedicated to exploring emerging forms of external reporting (referred to as EER)</w:t>
            </w:r>
            <w:r>
              <w:rPr>
                <w:rFonts w:ascii="Arial" w:hAnsi="Arial" w:cs="Arial"/>
                <w:sz w:val="22"/>
                <w:szCs w:val="22"/>
              </w:rPr>
              <w:t>.</w:t>
            </w:r>
          </w:p>
          <w:p w14:paraId="550E9E41" w14:textId="77777777" w:rsidR="00C81E24" w:rsidRPr="00B4539C" w:rsidRDefault="00C81E24" w:rsidP="00C81E24">
            <w:pPr>
              <w:pStyle w:val="NormalWeb"/>
              <w:spacing w:before="0" w:beforeAutospacing="0" w:after="120" w:afterAutospacing="0"/>
              <w:jc w:val="both"/>
              <w:rPr>
                <w:sz w:val="22"/>
                <w:szCs w:val="22"/>
              </w:rPr>
            </w:pPr>
            <w:r>
              <w:rPr>
                <w:rFonts w:ascii="Arial" w:hAnsi="Arial" w:cs="Arial"/>
                <w:sz w:val="22"/>
                <w:szCs w:val="22"/>
              </w:rPr>
              <w:t xml:space="preserve">The Discussion Paper is of particular relevance in the South African environment due to the integrated reporting requirements for listed companies, as per the JSE Listings Requirements and the </w:t>
            </w:r>
            <w:r w:rsidRPr="00B4539C">
              <w:rPr>
                <w:rFonts w:ascii="Arial" w:hAnsi="Arial" w:cs="Arial"/>
                <w:sz w:val="22"/>
                <w:szCs w:val="22"/>
              </w:rPr>
              <w:t>King Code of Governance Principles (King III).</w:t>
            </w:r>
          </w:p>
          <w:p w14:paraId="2CD9F73C" w14:textId="77777777" w:rsidR="00C81E24" w:rsidRPr="009A4EED" w:rsidRDefault="00C81E24" w:rsidP="00C81E24">
            <w:pPr>
              <w:pStyle w:val="NormalWeb"/>
              <w:spacing w:before="0" w:beforeAutospacing="0" w:after="120" w:afterAutospacing="0"/>
              <w:jc w:val="both"/>
              <w:rPr>
                <w:rFonts w:ascii="Arial" w:hAnsi="Arial" w:cs="Arial"/>
                <w:sz w:val="22"/>
                <w:szCs w:val="22"/>
              </w:rPr>
            </w:pPr>
            <w:r w:rsidRPr="009A4EED">
              <w:rPr>
                <w:rFonts w:ascii="Arial" w:hAnsi="Arial" w:cs="Arial"/>
                <w:sz w:val="22"/>
                <w:szCs w:val="22"/>
              </w:rPr>
              <w:t>The Discussion Paper explores</w:t>
            </w:r>
            <w:r>
              <w:rPr>
                <w:rFonts w:ascii="Arial" w:hAnsi="Arial" w:cs="Arial"/>
                <w:sz w:val="22"/>
                <w:szCs w:val="22"/>
              </w:rPr>
              <w:t xml:space="preserve"> the following</w:t>
            </w:r>
            <w:r w:rsidRPr="009A4EED">
              <w:rPr>
                <w:rFonts w:ascii="Arial" w:hAnsi="Arial" w:cs="Arial"/>
                <w:sz w:val="22"/>
                <w:szCs w:val="22"/>
              </w:rPr>
              <w:t>:</w:t>
            </w:r>
          </w:p>
          <w:p w14:paraId="40EE878C" w14:textId="77777777" w:rsidR="00C81E24" w:rsidRPr="009A4EED" w:rsidRDefault="00C81E24" w:rsidP="00C81E24">
            <w:pPr>
              <w:pStyle w:val="NormalWeb"/>
              <w:numPr>
                <w:ilvl w:val="0"/>
                <w:numId w:val="2"/>
              </w:numPr>
              <w:spacing w:before="0" w:beforeAutospacing="0" w:after="120" w:afterAutospacing="0"/>
              <w:jc w:val="both"/>
              <w:rPr>
                <w:rFonts w:ascii="Arial" w:hAnsi="Arial" w:cs="Arial"/>
                <w:sz w:val="22"/>
                <w:szCs w:val="22"/>
              </w:rPr>
            </w:pPr>
            <w:r w:rsidRPr="009A4EED">
              <w:rPr>
                <w:rFonts w:ascii="Arial" w:hAnsi="Arial" w:cs="Arial"/>
                <w:sz w:val="22"/>
                <w:szCs w:val="22"/>
              </w:rPr>
              <w:t>Factors that can enhance credibility and trust, internally and externally, in relation to emerging forms of external reports;</w:t>
            </w:r>
          </w:p>
          <w:p w14:paraId="19D2DC08" w14:textId="77777777" w:rsidR="00C81E24" w:rsidRPr="009A4EED" w:rsidRDefault="00C81E24" w:rsidP="00C81E24">
            <w:pPr>
              <w:pStyle w:val="NormalWeb"/>
              <w:numPr>
                <w:ilvl w:val="0"/>
                <w:numId w:val="2"/>
              </w:numPr>
              <w:spacing w:before="0" w:beforeAutospacing="0" w:after="120" w:afterAutospacing="0"/>
              <w:jc w:val="both"/>
              <w:rPr>
                <w:rFonts w:ascii="Arial" w:hAnsi="Arial" w:cs="Arial"/>
                <w:sz w:val="22"/>
                <w:szCs w:val="22"/>
              </w:rPr>
            </w:pPr>
            <w:r w:rsidRPr="009A4EED">
              <w:rPr>
                <w:rFonts w:ascii="Arial" w:hAnsi="Arial" w:cs="Arial"/>
                <w:sz w:val="22"/>
                <w:szCs w:val="22"/>
              </w:rPr>
              <w:t>Types of professional services covered by the IAASB’s international standards most relevant to these reports, in particular assurance engagements;</w:t>
            </w:r>
          </w:p>
          <w:p w14:paraId="494FCE09" w14:textId="77777777" w:rsidR="00C81E24" w:rsidRPr="009A4EED" w:rsidRDefault="00C81E24" w:rsidP="00C81E24">
            <w:pPr>
              <w:pStyle w:val="NormalWeb"/>
              <w:numPr>
                <w:ilvl w:val="0"/>
                <w:numId w:val="2"/>
              </w:numPr>
              <w:spacing w:before="0" w:beforeAutospacing="0" w:after="120" w:afterAutospacing="0"/>
              <w:jc w:val="both"/>
              <w:rPr>
                <w:rFonts w:ascii="Arial" w:hAnsi="Arial" w:cs="Arial"/>
                <w:sz w:val="22"/>
                <w:szCs w:val="22"/>
              </w:rPr>
            </w:pPr>
            <w:r w:rsidRPr="009A4EED">
              <w:rPr>
                <w:rFonts w:ascii="Arial" w:hAnsi="Arial" w:cs="Arial"/>
                <w:sz w:val="22"/>
                <w:szCs w:val="22"/>
              </w:rPr>
              <w:t>Key challenges in relation to assurance engagements; and</w:t>
            </w:r>
          </w:p>
          <w:p w14:paraId="15A012C7" w14:textId="77777777" w:rsidR="00C81E24" w:rsidRPr="009A4EED" w:rsidRDefault="00C81E24" w:rsidP="00C81E24">
            <w:pPr>
              <w:pStyle w:val="NormalWeb"/>
              <w:numPr>
                <w:ilvl w:val="0"/>
                <w:numId w:val="2"/>
              </w:numPr>
              <w:spacing w:before="0" w:beforeAutospacing="0" w:after="120" w:afterAutospacing="0"/>
              <w:jc w:val="both"/>
              <w:rPr>
                <w:rFonts w:ascii="Arial" w:hAnsi="Arial" w:cs="Arial"/>
                <w:sz w:val="22"/>
                <w:szCs w:val="22"/>
              </w:rPr>
            </w:pPr>
            <w:r w:rsidRPr="009A4EED">
              <w:rPr>
                <w:rFonts w:ascii="Arial" w:hAnsi="Arial" w:cs="Arial"/>
                <w:sz w:val="22"/>
                <w:szCs w:val="22"/>
              </w:rPr>
              <w:t>The type of guidance that might be helpful to support the quality of these assurance engagements.</w:t>
            </w:r>
          </w:p>
          <w:p w14:paraId="38FD1829" w14:textId="77777777" w:rsidR="00C81E24" w:rsidRDefault="00C81E24" w:rsidP="00C81E24">
            <w:pPr>
              <w:pStyle w:val="NormalWeb"/>
              <w:spacing w:before="0" w:beforeAutospacing="0" w:after="120" w:afterAutospacing="0"/>
              <w:jc w:val="both"/>
              <w:rPr>
                <w:rFonts w:ascii="Arial" w:hAnsi="Arial" w:cs="Arial"/>
                <w:sz w:val="22"/>
                <w:szCs w:val="22"/>
              </w:rPr>
            </w:pPr>
            <w:r w:rsidRPr="009A4EED">
              <w:rPr>
                <w:rFonts w:ascii="Arial" w:hAnsi="Arial" w:cs="Arial"/>
                <w:sz w:val="22"/>
                <w:szCs w:val="22"/>
              </w:rPr>
              <w:t xml:space="preserve">The Discussion Paper </w:t>
            </w:r>
            <w:r>
              <w:rPr>
                <w:rFonts w:ascii="Arial" w:hAnsi="Arial" w:cs="Arial"/>
                <w:sz w:val="22"/>
                <w:szCs w:val="22"/>
              </w:rPr>
              <w:t>identifies</w:t>
            </w:r>
            <w:r w:rsidRPr="009A4EED">
              <w:rPr>
                <w:rFonts w:ascii="Arial" w:hAnsi="Arial" w:cs="Arial"/>
                <w:sz w:val="22"/>
                <w:szCs w:val="22"/>
              </w:rPr>
              <w:t xml:space="preserve"> </w:t>
            </w:r>
            <w:r>
              <w:rPr>
                <w:rFonts w:ascii="Arial" w:hAnsi="Arial" w:cs="Arial"/>
                <w:sz w:val="22"/>
                <w:szCs w:val="22"/>
              </w:rPr>
              <w:t>10</w:t>
            </w:r>
            <w:r w:rsidRPr="009A4EED">
              <w:rPr>
                <w:rFonts w:ascii="Arial" w:hAnsi="Arial" w:cs="Arial"/>
                <w:sz w:val="22"/>
                <w:szCs w:val="22"/>
              </w:rPr>
              <w:t xml:space="preserve"> key challenges in relation to assurance engagements that </w:t>
            </w:r>
            <w:r>
              <w:rPr>
                <w:rFonts w:ascii="Arial" w:hAnsi="Arial" w:cs="Arial"/>
                <w:sz w:val="22"/>
                <w:szCs w:val="22"/>
              </w:rPr>
              <w:t>the IRWG would like to explore further.</w:t>
            </w:r>
          </w:p>
          <w:p w14:paraId="6094BBC1" w14:textId="77777777" w:rsidR="00C81E24" w:rsidRDefault="00C81E24" w:rsidP="00C81E24">
            <w:pPr>
              <w:pStyle w:val="NormalWeb"/>
              <w:spacing w:before="0" w:beforeAutospacing="0" w:after="120" w:afterAutospacing="0"/>
              <w:jc w:val="both"/>
              <w:rPr>
                <w:rFonts w:ascii="Arial" w:hAnsi="Arial" w:cs="Arial"/>
                <w:sz w:val="22"/>
                <w:szCs w:val="22"/>
              </w:rPr>
            </w:pPr>
            <w:r w:rsidRPr="009A4EED">
              <w:rPr>
                <w:rFonts w:ascii="Arial" w:hAnsi="Arial" w:cs="Arial"/>
                <w:sz w:val="22"/>
                <w:szCs w:val="22"/>
              </w:rPr>
              <w:t xml:space="preserve">The </w:t>
            </w:r>
            <w:r>
              <w:rPr>
                <w:rFonts w:ascii="Arial" w:hAnsi="Arial" w:cs="Arial"/>
                <w:sz w:val="22"/>
                <w:szCs w:val="22"/>
              </w:rPr>
              <w:t>IRWG</w:t>
            </w:r>
            <w:r w:rsidRPr="009A4EED">
              <w:rPr>
                <w:rFonts w:ascii="Arial" w:hAnsi="Arial" w:cs="Arial"/>
                <w:sz w:val="22"/>
                <w:szCs w:val="22"/>
              </w:rPr>
              <w:t xml:space="preserve"> is seeking input from investors, preparers, those in governance roles, standard setters, practitioners, internal auditors, regulators, academics and other stakeholders in the external reporting supply chain. The input will assist the IAASB in effectively responding to these developments in the public interest, including whether new or revised international standards or guidance may be necessary.</w:t>
            </w:r>
          </w:p>
          <w:p w14:paraId="44F3B34E" w14:textId="77777777" w:rsidR="00C81E24" w:rsidRDefault="00C81E24" w:rsidP="00C81E24">
            <w:pPr>
              <w:pStyle w:val="NormalWeb"/>
              <w:spacing w:before="0" w:beforeAutospacing="0" w:after="120" w:afterAutospacing="0"/>
              <w:jc w:val="both"/>
              <w:rPr>
                <w:rFonts w:ascii="Arial" w:hAnsi="Arial" w:cs="Arial"/>
                <w:sz w:val="22"/>
                <w:szCs w:val="22"/>
              </w:rPr>
            </w:pPr>
            <w:r w:rsidRPr="009A4EED">
              <w:rPr>
                <w:rFonts w:ascii="Arial" w:hAnsi="Arial" w:cs="Arial"/>
                <w:sz w:val="22"/>
                <w:szCs w:val="22"/>
              </w:rPr>
              <w:t xml:space="preserve">The </w:t>
            </w:r>
            <w:r>
              <w:rPr>
                <w:rFonts w:ascii="Arial" w:hAnsi="Arial" w:cs="Arial"/>
                <w:sz w:val="22"/>
                <w:szCs w:val="22"/>
              </w:rPr>
              <w:t>IRWG</w:t>
            </w:r>
            <w:r w:rsidRPr="009A4EED">
              <w:rPr>
                <w:rFonts w:ascii="Arial" w:hAnsi="Arial" w:cs="Arial"/>
                <w:sz w:val="22"/>
                <w:szCs w:val="22"/>
              </w:rPr>
              <w:t xml:space="preserve"> has developed material to supplement the Discussion Paper, including </w:t>
            </w:r>
            <w:r w:rsidRPr="002A66DA">
              <w:rPr>
                <w:rFonts w:ascii="Arial" w:hAnsi="Arial" w:cs="Arial"/>
                <w:sz w:val="22"/>
                <w:szCs w:val="22"/>
              </w:rPr>
              <w:t>FAQs</w:t>
            </w:r>
            <w:r w:rsidRPr="009A4EED">
              <w:rPr>
                <w:rFonts w:ascii="Arial" w:hAnsi="Arial" w:cs="Arial"/>
                <w:sz w:val="22"/>
                <w:szCs w:val="22"/>
              </w:rPr>
              <w:t xml:space="preserve">. This material, as well as more information and updates on the project, are available on the IAASB’s project page at </w:t>
            </w:r>
            <w:hyperlink r:id="rId5" w:history="1">
              <w:r w:rsidRPr="00091126">
                <w:rPr>
                  <w:rStyle w:val="Hyperlink"/>
                  <w:rFonts w:ascii="Arial" w:hAnsi="Arial" w:cs="Arial"/>
                  <w:sz w:val="22"/>
                  <w:szCs w:val="22"/>
                </w:rPr>
                <w:t>www.iaasb.org/auditing-assurance/projects/integrated-reporting-working-group</w:t>
              </w:r>
            </w:hyperlink>
            <w:r>
              <w:rPr>
                <w:rFonts w:ascii="Arial" w:hAnsi="Arial" w:cs="Arial"/>
                <w:sz w:val="22"/>
                <w:szCs w:val="22"/>
              </w:rPr>
              <w:t>.</w:t>
            </w:r>
          </w:p>
          <w:p w14:paraId="54328928" w14:textId="77777777" w:rsidR="00C81E24" w:rsidRDefault="00C81E24" w:rsidP="00C81E24">
            <w:pPr>
              <w:pStyle w:val="NormalWeb"/>
              <w:spacing w:before="0" w:beforeAutospacing="0" w:after="120" w:afterAutospacing="0"/>
              <w:jc w:val="both"/>
              <w:rPr>
                <w:rFonts w:ascii="Arial" w:hAnsi="Arial" w:cs="Arial"/>
                <w:sz w:val="22"/>
                <w:szCs w:val="22"/>
              </w:rPr>
            </w:pPr>
          </w:p>
          <w:p w14:paraId="31C4AADC" w14:textId="77777777" w:rsidR="00C81E24" w:rsidRPr="00B4539C" w:rsidRDefault="00C81E24" w:rsidP="00C81E24">
            <w:pPr>
              <w:pStyle w:val="NormalWeb"/>
              <w:spacing w:before="0" w:beforeAutospacing="0" w:after="120" w:afterAutospacing="0"/>
              <w:jc w:val="both"/>
              <w:rPr>
                <w:rFonts w:ascii="Arial" w:hAnsi="Arial" w:cs="Arial"/>
                <w:b/>
                <w:sz w:val="22"/>
                <w:szCs w:val="22"/>
              </w:rPr>
            </w:pPr>
            <w:r w:rsidRPr="00B4539C">
              <w:rPr>
                <w:rFonts w:ascii="Arial" w:hAnsi="Arial" w:cs="Arial"/>
                <w:b/>
                <w:sz w:val="22"/>
                <w:szCs w:val="22"/>
              </w:rPr>
              <w:t>How to comment</w:t>
            </w:r>
          </w:p>
          <w:p w14:paraId="60DB7FE7" w14:textId="77777777" w:rsidR="00C81E24" w:rsidRDefault="00C81E24" w:rsidP="00C81E24">
            <w:pPr>
              <w:pStyle w:val="NormalWeb"/>
              <w:spacing w:before="0" w:beforeAutospacing="0" w:after="120" w:afterAutospacing="0"/>
              <w:jc w:val="both"/>
              <w:rPr>
                <w:rFonts w:ascii="Arial" w:hAnsi="Arial" w:cs="Arial"/>
                <w:sz w:val="22"/>
                <w:szCs w:val="22"/>
              </w:rPr>
            </w:pPr>
            <w:r>
              <w:rPr>
                <w:rFonts w:ascii="Arial" w:hAnsi="Arial" w:cs="Arial"/>
                <w:sz w:val="22"/>
                <w:szCs w:val="22"/>
              </w:rPr>
              <w:t>The IAASB has requested that c</w:t>
            </w:r>
            <w:r w:rsidRPr="009A4EED">
              <w:rPr>
                <w:rFonts w:ascii="Arial" w:hAnsi="Arial" w:cs="Arial"/>
                <w:sz w:val="22"/>
                <w:szCs w:val="22"/>
              </w:rPr>
              <w:t xml:space="preserve">omments to the Discussion Paper </w:t>
            </w:r>
            <w:r>
              <w:rPr>
                <w:rFonts w:ascii="Arial" w:hAnsi="Arial" w:cs="Arial"/>
                <w:sz w:val="22"/>
                <w:szCs w:val="22"/>
              </w:rPr>
              <w:t xml:space="preserve">be submitted </w:t>
            </w:r>
            <w:r w:rsidRPr="009A4EED">
              <w:rPr>
                <w:rFonts w:ascii="Arial" w:hAnsi="Arial" w:cs="Arial"/>
                <w:sz w:val="22"/>
                <w:szCs w:val="22"/>
              </w:rPr>
              <w:t xml:space="preserve">by </w:t>
            </w:r>
            <w:r w:rsidRPr="00B4539C">
              <w:rPr>
                <w:rFonts w:ascii="Arial" w:hAnsi="Arial" w:cs="Arial"/>
                <w:b/>
                <w:sz w:val="22"/>
                <w:szCs w:val="22"/>
              </w:rPr>
              <w:t>15 December 2016</w:t>
            </w:r>
            <w:r>
              <w:rPr>
                <w:rFonts w:ascii="Arial" w:hAnsi="Arial" w:cs="Arial"/>
                <w:sz w:val="22"/>
                <w:szCs w:val="22"/>
              </w:rPr>
              <w:t>.</w:t>
            </w:r>
          </w:p>
          <w:p w14:paraId="5FC6B3C8" w14:textId="59E72B34" w:rsidR="00C81E24" w:rsidRPr="009A4EED" w:rsidRDefault="00C81E24" w:rsidP="00C81E24">
            <w:pPr>
              <w:pStyle w:val="NormalWeb"/>
              <w:spacing w:before="0" w:beforeAutospacing="0" w:after="120" w:afterAutospacing="0"/>
              <w:jc w:val="both"/>
              <w:rPr>
                <w:rFonts w:ascii="Arial" w:hAnsi="Arial" w:cs="Arial"/>
                <w:sz w:val="22"/>
                <w:szCs w:val="22"/>
              </w:rPr>
            </w:pPr>
            <w:r>
              <w:rPr>
                <w:rFonts w:ascii="Arial" w:hAnsi="Arial" w:cs="Arial"/>
                <w:sz w:val="22"/>
                <w:szCs w:val="22"/>
              </w:rPr>
              <w:t>The IRBA will schedule outreach forums to obtain feedback on the Discussion Paper from stakeholders. Details of the events will be announced in due course. Comments obtained from stakeholders will in</w:t>
            </w:r>
            <w:r>
              <w:rPr>
                <w:rFonts w:ascii="Arial" w:hAnsi="Arial" w:cs="Arial"/>
                <w:sz w:val="22"/>
                <w:szCs w:val="22"/>
              </w:rPr>
              <w:t>form the IRBA</w:t>
            </w:r>
            <w:r>
              <w:rPr>
                <w:rFonts w:ascii="Calibri" w:hAnsi="Calibri" w:cs="Arial"/>
                <w:sz w:val="22"/>
                <w:szCs w:val="22"/>
              </w:rPr>
              <w:t>'</w:t>
            </w:r>
            <w:bookmarkStart w:id="0" w:name="_GoBack"/>
            <w:bookmarkEnd w:id="0"/>
            <w:r>
              <w:rPr>
                <w:rFonts w:ascii="Arial" w:hAnsi="Arial" w:cs="Arial"/>
                <w:sz w:val="22"/>
                <w:szCs w:val="22"/>
              </w:rPr>
              <w:t>s comment letter.</w:t>
            </w:r>
          </w:p>
          <w:p w14:paraId="64EBEAF4" w14:textId="77777777" w:rsidR="00C81E24" w:rsidRDefault="00C81E24" w:rsidP="00C81E24">
            <w:pPr>
              <w:pStyle w:val="NormalWeb"/>
              <w:spacing w:before="0" w:beforeAutospacing="0" w:after="120" w:afterAutospacing="0"/>
              <w:jc w:val="both"/>
              <w:rPr>
                <w:rFonts w:ascii="Arial" w:hAnsi="Arial" w:cs="Arial"/>
                <w:sz w:val="22"/>
                <w:szCs w:val="22"/>
              </w:rPr>
            </w:pPr>
          </w:p>
          <w:p w14:paraId="49A170AD" w14:textId="77777777" w:rsidR="00C81E24" w:rsidRPr="00F76271" w:rsidRDefault="00C81E24" w:rsidP="00C81E24">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6"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516C751D" w14:textId="77777777" w:rsidR="00C81E24" w:rsidRPr="009A4EED" w:rsidRDefault="00C81E24" w:rsidP="00C81E24">
            <w:pPr>
              <w:pStyle w:val="NormalWeb"/>
              <w:spacing w:before="0" w:beforeAutospacing="0" w:after="120" w:afterAutospacing="0"/>
              <w:jc w:val="both"/>
              <w:rPr>
                <w:rFonts w:ascii="Arial" w:hAnsi="Arial" w:cs="Arial"/>
                <w:sz w:val="22"/>
                <w:szCs w:val="22"/>
              </w:rPr>
            </w:pPr>
          </w:p>
          <w:p w14:paraId="48D5B253" w14:textId="77777777" w:rsidR="00C81E24" w:rsidRPr="009A4EED" w:rsidRDefault="00C81E24" w:rsidP="00C81E24">
            <w:pPr>
              <w:pStyle w:val="NormalWeb"/>
              <w:spacing w:before="0" w:beforeAutospacing="0" w:after="120" w:afterAutospacing="0"/>
              <w:jc w:val="both"/>
              <w:rPr>
                <w:rFonts w:ascii="Arial" w:hAnsi="Arial" w:cs="Arial"/>
                <w:sz w:val="22"/>
                <w:szCs w:val="22"/>
              </w:rPr>
            </w:pPr>
          </w:p>
          <w:p w14:paraId="4926FD5B" w14:textId="77777777" w:rsidR="00C81E24" w:rsidRPr="00F76271" w:rsidRDefault="00C81E24" w:rsidP="00C81E24">
            <w:pPr>
              <w:jc w:val="both"/>
              <w:textAlignment w:val="top"/>
              <w:rPr>
                <w:rFonts w:ascii="Arial" w:hAnsi="Arial" w:cs="Arial"/>
                <w:b/>
                <w:sz w:val="22"/>
                <w:szCs w:val="22"/>
                <w:lang w:val="en-GB"/>
              </w:rPr>
            </w:pPr>
          </w:p>
          <w:p w14:paraId="77D278C7" w14:textId="77777777" w:rsidR="00C81E24" w:rsidRPr="00F76271" w:rsidRDefault="00C81E24" w:rsidP="00C81E24">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607059A3" w14:textId="77777777" w:rsidR="00C81E24" w:rsidRPr="00F76271" w:rsidRDefault="00C81E24" w:rsidP="00C81E24">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512B990E" w14:textId="77777777" w:rsidR="00C81E24" w:rsidRPr="00F76271" w:rsidRDefault="00C81E24" w:rsidP="00C81E24">
            <w:pPr>
              <w:spacing w:after="120"/>
              <w:jc w:val="both"/>
              <w:rPr>
                <w:rFonts w:ascii="Arial" w:hAnsi="Arial" w:cs="Arial"/>
                <w:b/>
                <w:i/>
                <w:noProof/>
                <w:sz w:val="20"/>
                <w:szCs w:val="20"/>
                <w:lang w:val="en-GB"/>
              </w:rPr>
            </w:pPr>
          </w:p>
          <w:p w14:paraId="109B9BEF" w14:textId="77777777" w:rsidR="00C81E24" w:rsidRPr="003F3563" w:rsidRDefault="00C81E24" w:rsidP="00C81E24">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3CB9DE3D" w14:textId="77777777" w:rsidR="00C81E24" w:rsidRPr="003F3563" w:rsidRDefault="00C81E24" w:rsidP="00C81E24">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07D45F6D" w14:textId="783B530C" w:rsidR="00C81E24" w:rsidRDefault="00C81E24" w:rsidP="00C81E24">
            <w:pPr>
              <w:spacing w:after="120"/>
              <w:jc w:val="both"/>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0C7FCD86" w14:textId="77777777" w:rsidR="00F76271" w:rsidRPr="00F76271" w:rsidRDefault="00F76271">
      <w:pPr>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40D50"/>
    <w:multiLevelType w:val="hybridMultilevel"/>
    <w:tmpl w:val="B12093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411C18F2"/>
    <w:multiLevelType w:val="multilevel"/>
    <w:tmpl w:val="83B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7286A"/>
    <w:rsid w:val="000954E0"/>
    <w:rsid w:val="001B0AAE"/>
    <w:rsid w:val="001C5EA9"/>
    <w:rsid w:val="002475AA"/>
    <w:rsid w:val="00287884"/>
    <w:rsid w:val="002A66DA"/>
    <w:rsid w:val="003706C5"/>
    <w:rsid w:val="003F3563"/>
    <w:rsid w:val="00417944"/>
    <w:rsid w:val="00493E6F"/>
    <w:rsid w:val="00513971"/>
    <w:rsid w:val="0063111F"/>
    <w:rsid w:val="006A2A11"/>
    <w:rsid w:val="007625AA"/>
    <w:rsid w:val="00794A42"/>
    <w:rsid w:val="007D6775"/>
    <w:rsid w:val="00830FCD"/>
    <w:rsid w:val="0086580B"/>
    <w:rsid w:val="008D1B23"/>
    <w:rsid w:val="009413CF"/>
    <w:rsid w:val="00980EE5"/>
    <w:rsid w:val="00981C35"/>
    <w:rsid w:val="009A4EED"/>
    <w:rsid w:val="00B21992"/>
    <w:rsid w:val="00B4539C"/>
    <w:rsid w:val="00C81E24"/>
    <w:rsid w:val="00D308A9"/>
    <w:rsid w:val="00D9728A"/>
    <w:rsid w:val="00E41343"/>
    <w:rsid w:val="00EB1ED9"/>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DDAF"/>
  <w15:docId w15:val="{645D995A-1B6A-45B0-884D-212BC3CB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Strong">
    <w:name w:val="Strong"/>
    <w:basedOn w:val="DefaultParagraphFont"/>
    <w:uiPriority w:val="22"/>
    <w:qFormat/>
    <w:rsid w:val="009A4EED"/>
    <w:rPr>
      <w:b/>
      <w:bCs/>
    </w:rPr>
  </w:style>
  <w:style w:type="character" w:styleId="Emphasis">
    <w:name w:val="Emphasis"/>
    <w:basedOn w:val="DefaultParagraphFont"/>
    <w:uiPriority w:val="20"/>
    <w:qFormat/>
    <w:rsid w:val="009A4EED"/>
    <w:rPr>
      <w:i/>
      <w:iCs/>
    </w:rPr>
  </w:style>
  <w:style w:type="character" w:customStyle="1" w:styleId="apple-converted-space">
    <w:name w:val="apple-converted-space"/>
    <w:basedOn w:val="DefaultParagraphFont"/>
    <w:rsid w:val="001C5EA9"/>
  </w:style>
  <w:style w:type="character" w:styleId="CommentReference">
    <w:name w:val="annotation reference"/>
    <w:basedOn w:val="DefaultParagraphFont"/>
    <w:uiPriority w:val="99"/>
    <w:semiHidden/>
    <w:unhideWhenUsed/>
    <w:rsid w:val="00B4539C"/>
    <w:rPr>
      <w:sz w:val="16"/>
      <w:szCs w:val="16"/>
    </w:rPr>
  </w:style>
  <w:style w:type="paragraph" w:styleId="CommentText">
    <w:name w:val="annotation text"/>
    <w:basedOn w:val="Normal"/>
    <w:link w:val="CommentTextChar"/>
    <w:uiPriority w:val="99"/>
    <w:semiHidden/>
    <w:unhideWhenUsed/>
    <w:rsid w:val="00B4539C"/>
    <w:rPr>
      <w:sz w:val="20"/>
      <w:szCs w:val="20"/>
    </w:rPr>
  </w:style>
  <w:style w:type="character" w:customStyle="1" w:styleId="CommentTextChar">
    <w:name w:val="Comment Text Char"/>
    <w:basedOn w:val="DefaultParagraphFont"/>
    <w:link w:val="CommentText"/>
    <w:uiPriority w:val="99"/>
    <w:semiHidden/>
    <w:rsid w:val="00B453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539C"/>
    <w:rPr>
      <w:b/>
      <w:bCs/>
    </w:rPr>
  </w:style>
  <w:style w:type="character" w:customStyle="1" w:styleId="CommentSubjectChar">
    <w:name w:val="Comment Subject Char"/>
    <w:basedOn w:val="CommentTextChar"/>
    <w:link w:val="CommentSubject"/>
    <w:uiPriority w:val="99"/>
    <w:semiHidden/>
    <w:rsid w:val="00B4539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45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9C"/>
    <w:rPr>
      <w:rFonts w:ascii="Segoe UI" w:eastAsia="Times New Roman" w:hAnsi="Segoe UI" w:cs="Segoe UI"/>
      <w:sz w:val="18"/>
      <w:szCs w:val="18"/>
      <w:lang w:val="en-US"/>
    </w:rPr>
  </w:style>
  <w:style w:type="table" w:styleId="TableGrid">
    <w:name w:val="Table Grid"/>
    <w:basedOn w:val="TableNormal"/>
    <w:uiPriority w:val="59"/>
    <w:rsid w:val="00C81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820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www.iaasb.org/auditing-assurance/projects/integrated-reporting-working-gr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dcterms:created xsi:type="dcterms:W3CDTF">2016-09-12T12:21:00Z</dcterms:created>
  <dcterms:modified xsi:type="dcterms:W3CDTF">2016-09-12T12:21:00Z</dcterms:modified>
</cp:coreProperties>
</file>