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160B19" w14:paraId="3C9C9808" w14:textId="77777777" w:rsidTr="00160B19">
        <w:tc>
          <w:tcPr>
            <w:tcW w:w="9736" w:type="dxa"/>
            <w:tcBorders>
              <w:top w:val="single" w:sz="4" w:space="0" w:color="auto"/>
              <w:left w:val="nil"/>
              <w:bottom w:val="single" w:sz="4" w:space="0" w:color="auto"/>
              <w:right w:val="nil"/>
            </w:tcBorders>
          </w:tcPr>
          <w:p w14:paraId="4EA8CBBB" w14:textId="6015B1C3" w:rsidR="00160B19" w:rsidRDefault="00160B19" w:rsidP="00160B19">
            <w:pPr>
              <w:jc w:val="center"/>
              <w:rPr>
                <w:rFonts w:ascii="Arial" w:hAnsi="Arial" w:cs="Arial"/>
              </w:rPr>
            </w:pPr>
            <w:r w:rsidRPr="00F76271">
              <w:rPr>
                <w:rFonts w:ascii="Arial" w:hAnsi="Arial" w:cs="Arial"/>
                <w:b/>
                <w:bCs/>
                <w:color w:val="CC0000"/>
                <w:lang w:val="en-GB"/>
              </w:rPr>
              <w:t>INDEPENDENT REGULATORY BOARD FOR AUDITORS</w:t>
            </w:r>
          </w:p>
        </w:tc>
      </w:tr>
    </w:tbl>
    <w:p w14:paraId="5E812F3D" w14:textId="77777777" w:rsidR="00160B19" w:rsidRDefault="00160B19" w:rsidP="00622182">
      <w:pPr>
        <w:spacing w:after="120" w:line="312" w:lineRule="auto"/>
        <w:jc w:val="center"/>
        <w:rPr>
          <w:rFonts w:ascii="Arial" w:hAnsi="Arial" w:cs="Arial"/>
        </w:rPr>
      </w:pPr>
    </w:p>
    <w:tbl>
      <w:tblPr>
        <w:tblStyle w:val="TableGrid"/>
        <w:tblW w:w="0" w:type="auto"/>
        <w:tblLook w:val="04A0" w:firstRow="1" w:lastRow="0" w:firstColumn="1" w:lastColumn="0" w:noHBand="0" w:noVBand="1"/>
      </w:tblPr>
      <w:tblGrid>
        <w:gridCol w:w="9736"/>
      </w:tblGrid>
      <w:tr w:rsidR="00160B19" w14:paraId="26998892" w14:textId="77777777" w:rsidTr="00160B19">
        <w:tc>
          <w:tcPr>
            <w:tcW w:w="9736" w:type="dxa"/>
            <w:tcBorders>
              <w:top w:val="nil"/>
              <w:left w:val="nil"/>
              <w:bottom w:val="nil"/>
              <w:right w:val="nil"/>
            </w:tcBorders>
          </w:tcPr>
          <w:p w14:paraId="25BA71EC" w14:textId="77777777" w:rsidR="00160B19" w:rsidRPr="00690628" w:rsidRDefault="00160B19" w:rsidP="00160B19">
            <w:pPr>
              <w:spacing w:after="120" w:line="312" w:lineRule="auto"/>
              <w:jc w:val="center"/>
              <w:rPr>
                <w:rFonts w:ascii="Arial" w:hAnsi="Arial" w:cs="Arial"/>
                <w:b/>
                <w:sz w:val="22"/>
                <w:szCs w:val="22"/>
              </w:rPr>
            </w:pPr>
            <w:r w:rsidRPr="00690628">
              <w:rPr>
                <w:rFonts w:ascii="Arial" w:hAnsi="Arial" w:cs="Arial"/>
                <w:b/>
                <w:sz w:val="22"/>
                <w:szCs w:val="22"/>
              </w:rPr>
              <w:t>IAASB Working Group Seeks Input on the Growing Use of Data Analytics in the Audit</w:t>
            </w:r>
          </w:p>
          <w:p w14:paraId="7CB132BD" w14:textId="77777777" w:rsidR="00160B19" w:rsidRPr="00AE70E7" w:rsidRDefault="00160B19" w:rsidP="00160B19">
            <w:pPr>
              <w:spacing w:after="120" w:line="312" w:lineRule="auto"/>
              <w:jc w:val="center"/>
              <w:rPr>
                <w:rFonts w:ascii="Arial" w:hAnsi="Arial" w:cs="Arial"/>
                <w:sz w:val="22"/>
                <w:szCs w:val="22"/>
                <w:lang w:val="en-GB"/>
              </w:rPr>
            </w:pPr>
            <w:r w:rsidRPr="00AE70E7">
              <w:rPr>
                <w:rFonts w:ascii="Arial" w:hAnsi="Arial" w:cs="Arial"/>
                <w:sz w:val="22"/>
                <w:szCs w:val="22"/>
                <w:lang w:val="en-GB"/>
              </w:rPr>
              <w:t xml:space="preserve">Johannesburg / </w:t>
            </w:r>
            <w:r>
              <w:rPr>
                <w:rFonts w:ascii="Arial" w:hAnsi="Arial" w:cs="Arial"/>
                <w:sz w:val="22"/>
                <w:szCs w:val="22"/>
                <w:lang w:val="en-GB"/>
              </w:rPr>
              <w:t>29</w:t>
            </w:r>
            <w:r w:rsidRPr="00AE70E7">
              <w:rPr>
                <w:rFonts w:ascii="Arial" w:hAnsi="Arial" w:cs="Arial"/>
                <w:sz w:val="22"/>
                <w:szCs w:val="22"/>
                <w:lang w:val="en-GB"/>
              </w:rPr>
              <w:t xml:space="preserve"> September 2016</w:t>
            </w:r>
          </w:p>
          <w:p w14:paraId="34F46BDB" w14:textId="77777777" w:rsidR="00160B19" w:rsidRPr="00AE70E7" w:rsidRDefault="00160B19" w:rsidP="00160B19">
            <w:pPr>
              <w:pStyle w:val="NormalWeb"/>
              <w:spacing w:before="0" w:beforeAutospacing="0" w:after="120" w:afterAutospacing="0" w:line="312" w:lineRule="auto"/>
              <w:jc w:val="both"/>
              <w:rPr>
                <w:rFonts w:ascii="Arial" w:hAnsi="Arial" w:cs="Arial"/>
                <w:sz w:val="22"/>
                <w:szCs w:val="22"/>
                <w:lang w:val="en-GB"/>
              </w:rPr>
            </w:pPr>
          </w:p>
          <w:p w14:paraId="1FDA7951" w14:textId="41831647" w:rsidR="00160B19" w:rsidRDefault="00160B19" w:rsidP="00160B19">
            <w:pPr>
              <w:tabs>
                <w:tab w:val="left" w:pos="-720"/>
              </w:tabs>
              <w:suppressAutoHyphens/>
              <w:spacing w:after="120" w:line="312" w:lineRule="auto"/>
              <w:jc w:val="both"/>
              <w:rPr>
                <w:rFonts w:ascii="Arial" w:eastAsiaTheme="minorHAnsi" w:hAnsi="Arial" w:cs="Arial"/>
                <w:sz w:val="22"/>
                <w:szCs w:val="22"/>
                <w:lang w:val="en-ZA"/>
              </w:rPr>
            </w:pPr>
            <w:r w:rsidRPr="005876F6">
              <w:rPr>
                <w:rFonts w:ascii="Arial" w:eastAsiaTheme="minorHAnsi" w:hAnsi="Arial" w:cs="Arial"/>
                <w:sz w:val="22"/>
                <w:szCs w:val="22"/>
                <w:lang w:val="en-ZA"/>
              </w:rPr>
              <w:t>The International Auditing and Assurance Standards Board</w:t>
            </w:r>
            <w:r>
              <w:rPr>
                <w:rFonts w:ascii="Calibri" w:eastAsiaTheme="minorHAnsi" w:hAnsi="Calibri" w:cs="Arial"/>
                <w:sz w:val="22"/>
                <w:szCs w:val="22"/>
                <w:lang w:val="en-ZA"/>
              </w:rPr>
              <w:t>'</w:t>
            </w:r>
            <w:r>
              <w:rPr>
                <w:rFonts w:ascii="Arial" w:eastAsiaTheme="minorHAnsi" w:hAnsi="Arial" w:cs="Arial"/>
                <w:sz w:val="22"/>
                <w:szCs w:val="22"/>
                <w:lang w:val="en-ZA"/>
              </w:rPr>
              <w:t>s</w:t>
            </w:r>
            <w:r w:rsidRPr="005876F6">
              <w:rPr>
                <w:rFonts w:ascii="Arial" w:eastAsiaTheme="minorHAnsi" w:hAnsi="Arial" w:cs="Arial"/>
                <w:sz w:val="22"/>
                <w:szCs w:val="22"/>
                <w:lang w:val="en-ZA"/>
              </w:rPr>
              <w:t xml:space="preserve"> (IAASB) Data Analytics Working Group </w:t>
            </w:r>
            <w:r>
              <w:rPr>
                <w:rFonts w:ascii="Arial" w:eastAsiaTheme="minorHAnsi" w:hAnsi="Arial" w:cs="Arial"/>
                <w:sz w:val="22"/>
                <w:szCs w:val="22"/>
                <w:lang w:val="en-ZA"/>
              </w:rPr>
              <w:t xml:space="preserve">(DAWG) </w:t>
            </w:r>
            <w:r w:rsidRPr="005876F6">
              <w:rPr>
                <w:rFonts w:ascii="Arial" w:eastAsiaTheme="minorHAnsi" w:hAnsi="Arial" w:cs="Arial"/>
                <w:sz w:val="22"/>
                <w:szCs w:val="22"/>
                <w:lang w:val="en-ZA"/>
              </w:rPr>
              <w:t>is furthering its work to understand how the use of technology, and more specifically data analytics, is able to enhance audit quality.</w:t>
            </w:r>
            <w:r>
              <w:rPr>
                <w:rFonts w:ascii="Arial" w:eastAsiaTheme="minorHAnsi" w:hAnsi="Arial" w:cs="Arial"/>
                <w:sz w:val="22"/>
                <w:szCs w:val="22"/>
                <w:lang w:val="en-ZA"/>
              </w:rPr>
              <w:t xml:space="preserve"> T</w:t>
            </w:r>
            <w:r w:rsidRPr="005876F6">
              <w:rPr>
                <w:rFonts w:ascii="Arial" w:eastAsiaTheme="minorHAnsi" w:hAnsi="Arial" w:cs="Arial"/>
                <w:sz w:val="22"/>
                <w:szCs w:val="22"/>
                <w:lang w:val="en-ZA"/>
              </w:rPr>
              <w:t xml:space="preserve">he IAASB released </w:t>
            </w:r>
            <w:r w:rsidRPr="00B31E4D">
              <w:rPr>
                <w:rFonts w:ascii="Arial" w:eastAsiaTheme="minorHAnsi" w:hAnsi="Arial" w:cs="Arial"/>
                <w:sz w:val="22"/>
                <w:szCs w:val="22"/>
                <w:lang w:val="en-ZA"/>
              </w:rPr>
              <w:t xml:space="preserve">a </w:t>
            </w:r>
            <w:hyperlink r:id="rId6" w:history="1">
              <w:r w:rsidRPr="00160B19">
                <w:rPr>
                  <w:rStyle w:val="Hyperlink"/>
                  <w:rFonts w:ascii="Arial" w:eastAsiaTheme="minorHAnsi" w:hAnsi="Arial" w:cs="Arial"/>
                  <w:sz w:val="22"/>
                  <w:szCs w:val="22"/>
                  <w:lang w:val="en-ZA"/>
                </w:rPr>
                <w:t xml:space="preserve">Request for Input, </w:t>
              </w:r>
              <w:r w:rsidRPr="00160B19">
                <w:rPr>
                  <w:rStyle w:val="Hyperlink"/>
                  <w:rFonts w:ascii="Arial" w:eastAsiaTheme="minorHAnsi" w:hAnsi="Arial" w:cs="Arial"/>
                  <w:i/>
                  <w:sz w:val="22"/>
                  <w:szCs w:val="22"/>
                  <w:lang w:val="en-ZA"/>
                </w:rPr>
                <w:t>Exploring the Growing Use of Technology in the Audit, with a Focus on Data Analytics</w:t>
              </w:r>
            </w:hyperlink>
            <w:r>
              <w:rPr>
                <w:rFonts w:ascii="Arial" w:eastAsiaTheme="minorHAnsi" w:hAnsi="Arial" w:cs="Arial"/>
                <w:sz w:val="22"/>
                <w:szCs w:val="22"/>
                <w:lang w:val="en-ZA"/>
              </w:rPr>
              <w:t xml:space="preserve"> on 1 September 2016.</w:t>
            </w:r>
          </w:p>
          <w:p w14:paraId="1B6CDA37" w14:textId="2779199F" w:rsidR="00160B19" w:rsidRPr="005876F6" w:rsidRDefault="00160B19" w:rsidP="00160B19">
            <w:pPr>
              <w:tabs>
                <w:tab w:val="left" w:pos="-720"/>
              </w:tabs>
              <w:suppressAutoHyphens/>
              <w:spacing w:after="120" w:line="312" w:lineRule="auto"/>
              <w:jc w:val="both"/>
              <w:rPr>
                <w:rFonts w:ascii="Arial" w:eastAsiaTheme="minorHAnsi" w:hAnsi="Arial" w:cs="Arial"/>
                <w:sz w:val="22"/>
                <w:szCs w:val="22"/>
                <w:lang w:val="en-ZA"/>
              </w:rPr>
            </w:pPr>
            <w:r w:rsidRPr="00B31E4D">
              <w:rPr>
                <w:rFonts w:ascii="Arial" w:eastAsiaTheme="minorHAnsi" w:hAnsi="Arial" w:cs="Arial"/>
                <w:sz w:val="22"/>
                <w:szCs w:val="22"/>
                <w:lang w:val="en-ZA"/>
              </w:rPr>
              <w:t>The Request for Input provides insights into the opportunities and challenges with the use of data analytics in the audit of financial statements and outlines th</w:t>
            </w:r>
            <w:r>
              <w:rPr>
                <w:rFonts w:ascii="Arial" w:eastAsiaTheme="minorHAnsi" w:hAnsi="Arial" w:cs="Arial"/>
                <w:sz w:val="22"/>
                <w:szCs w:val="22"/>
                <w:lang w:val="en-ZA"/>
              </w:rPr>
              <w:t>e insights gained from the DAWG</w:t>
            </w:r>
            <w:r>
              <w:rPr>
                <w:rFonts w:ascii="Calibri" w:eastAsiaTheme="minorHAnsi" w:hAnsi="Calibri" w:cs="Arial"/>
                <w:sz w:val="22"/>
                <w:szCs w:val="22"/>
                <w:lang w:val="en-ZA"/>
              </w:rPr>
              <w:t>'</w:t>
            </w:r>
            <w:r w:rsidRPr="00B31E4D">
              <w:rPr>
                <w:rFonts w:ascii="Arial" w:eastAsiaTheme="minorHAnsi" w:hAnsi="Arial" w:cs="Arial"/>
                <w:sz w:val="22"/>
                <w:szCs w:val="22"/>
                <w:lang w:val="en-ZA"/>
              </w:rPr>
              <w:t>s activities to date. The purpose of the Request for Input is to:</w:t>
            </w:r>
          </w:p>
          <w:p w14:paraId="39FC35E4" w14:textId="5749879F" w:rsidR="00160B19" w:rsidRPr="00B31E4D" w:rsidRDefault="00160B19" w:rsidP="00160B19">
            <w:pPr>
              <w:pStyle w:val="ListParagraph"/>
              <w:numPr>
                <w:ilvl w:val="0"/>
                <w:numId w:val="18"/>
              </w:numPr>
              <w:tabs>
                <w:tab w:val="left" w:pos="-720"/>
              </w:tabs>
              <w:suppressAutoHyphens/>
              <w:spacing w:after="120" w:line="312" w:lineRule="auto"/>
              <w:contextualSpacing w:val="0"/>
              <w:jc w:val="both"/>
              <w:rPr>
                <w:rFonts w:ascii="Arial" w:eastAsiaTheme="minorHAnsi" w:hAnsi="Arial" w:cs="Arial"/>
                <w:sz w:val="22"/>
                <w:szCs w:val="22"/>
                <w:lang w:val="en-ZA"/>
              </w:rPr>
            </w:pPr>
            <w:r w:rsidRPr="00B31E4D">
              <w:rPr>
                <w:rFonts w:ascii="Arial" w:eastAsiaTheme="minorHAnsi" w:hAnsi="Arial" w:cs="Arial"/>
                <w:sz w:val="22"/>
                <w:szCs w:val="22"/>
                <w:lang w:val="en-ZA"/>
              </w:rPr>
              <w:t>Info</w:t>
            </w:r>
            <w:r>
              <w:rPr>
                <w:rFonts w:ascii="Arial" w:eastAsiaTheme="minorHAnsi" w:hAnsi="Arial" w:cs="Arial"/>
                <w:sz w:val="22"/>
                <w:szCs w:val="22"/>
                <w:lang w:val="en-ZA"/>
              </w:rPr>
              <w:t>rm stakeholders about the IAASB</w:t>
            </w:r>
            <w:r>
              <w:rPr>
                <w:rFonts w:ascii="Calibri" w:eastAsiaTheme="minorHAnsi" w:hAnsi="Calibri" w:cs="Arial"/>
                <w:sz w:val="22"/>
                <w:szCs w:val="22"/>
                <w:lang w:val="en-ZA"/>
              </w:rPr>
              <w:t>'</w:t>
            </w:r>
            <w:r w:rsidRPr="00B31E4D">
              <w:rPr>
                <w:rFonts w:ascii="Arial" w:eastAsiaTheme="minorHAnsi" w:hAnsi="Arial" w:cs="Arial"/>
                <w:sz w:val="22"/>
                <w:szCs w:val="22"/>
                <w:lang w:val="en-ZA"/>
              </w:rPr>
              <w:t>s ongoing work to explore effective and appropriate use of technology, with a focus on data analytics, in the audit of financial statements; and</w:t>
            </w:r>
          </w:p>
          <w:p w14:paraId="1BAC315D" w14:textId="77777777" w:rsidR="00160B19" w:rsidRPr="00B31E4D" w:rsidRDefault="00160B19" w:rsidP="00160B19">
            <w:pPr>
              <w:pStyle w:val="ListParagraph"/>
              <w:numPr>
                <w:ilvl w:val="0"/>
                <w:numId w:val="18"/>
              </w:numPr>
              <w:tabs>
                <w:tab w:val="left" w:pos="-720"/>
              </w:tabs>
              <w:suppressAutoHyphens/>
              <w:spacing w:after="120" w:line="312" w:lineRule="auto"/>
              <w:contextualSpacing w:val="0"/>
              <w:jc w:val="both"/>
              <w:rPr>
                <w:rFonts w:ascii="Arial" w:eastAsiaTheme="minorHAnsi" w:hAnsi="Arial" w:cs="Arial"/>
                <w:sz w:val="22"/>
                <w:szCs w:val="22"/>
                <w:lang w:val="en-ZA"/>
              </w:rPr>
            </w:pPr>
            <w:r w:rsidRPr="00B31E4D">
              <w:rPr>
                <w:rFonts w:ascii="Arial" w:eastAsiaTheme="minorHAnsi" w:hAnsi="Arial" w:cs="Arial"/>
                <w:sz w:val="22"/>
                <w:szCs w:val="22"/>
                <w:lang w:val="en-ZA"/>
              </w:rPr>
              <w:t>Obtain stakeholder input and perspectives on whether all the considerations relevant to the use of data analytics in a financial statement audit have been identified.</w:t>
            </w:r>
          </w:p>
          <w:p w14:paraId="37EE85D7" w14:textId="77777777" w:rsidR="00160B19" w:rsidRPr="00622182" w:rsidRDefault="00160B19" w:rsidP="00160B19">
            <w:pPr>
              <w:spacing w:after="120" w:line="312" w:lineRule="auto"/>
              <w:jc w:val="both"/>
              <w:rPr>
                <w:rFonts w:ascii="Arial" w:eastAsiaTheme="minorHAnsi" w:hAnsi="Arial" w:cs="Arial"/>
                <w:sz w:val="22"/>
                <w:szCs w:val="22"/>
                <w:lang w:val="en-ZA"/>
              </w:rPr>
            </w:pPr>
            <w:r w:rsidRPr="00622182">
              <w:rPr>
                <w:rFonts w:ascii="Arial" w:eastAsiaTheme="minorHAnsi" w:hAnsi="Arial" w:cs="Arial"/>
                <w:sz w:val="22"/>
                <w:szCs w:val="22"/>
                <w:lang w:val="en-ZA"/>
              </w:rPr>
              <w:t xml:space="preserve">The DAWG is seeking input from investors, preparers, those in governance roles, standard setters, practitioners, internal auditors, regulators, academics and other stakeholders in the external reporting supply chain. The input will assist the IAASB in effectively responding to these developments in the public interest, including determining whether new or revised international standards or guidance may be necessary. </w:t>
            </w:r>
          </w:p>
          <w:p w14:paraId="549166C4" w14:textId="77777777" w:rsidR="00160B19" w:rsidRPr="00622182" w:rsidRDefault="00160B19" w:rsidP="00160B19">
            <w:pPr>
              <w:spacing w:after="120" w:line="312" w:lineRule="auto"/>
              <w:jc w:val="both"/>
              <w:rPr>
                <w:rFonts w:ascii="Arial" w:eastAsiaTheme="minorHAnsi" w:hAnsi="Arial" w:cs="Arial"/>
                <w:sz w:val="22"/>
                <w:szCs w:val="22"/>
                <w:lang w:val="en-ZA"/>
              </w:rPr>
            </w:pPr>
          </w:p>
          <w:p w14:paraId="692048FD" w14:textId="77777777" w:rsidR="00160B19" w:rsidRPr="00622182" w:rsidRDefault="00160B19" w:rsidP="00160B19">
            <w:pPr>
              <w:spacing w:after="120" w:line="312" w:lineRule="auto"/>
              <w:jc w:val="both"/>
              <w:rPr>
                <w:rFonts w:ascii="Arial" w:eastAsiaTheme="minorHAnsi" w:hAnsi="Arial" w:cs="Arial"/>
                <w:b/>
                <w:sz w:val="22"/>
                <w:szCs w:val="22"/>
                <w:lang w:val="en-ZA"/>
              </w:rPr>
            </w:pPr>
            <w:r w:rsidRPr="00622182">
              <w:rPr>
                <w:rFonts w:ascii="Arial" w:eastAsiaTheme="minorHAnsi" w:hAnsi="Arial" w:cs="Arial"/>
                <w:b/>
                <w:sz w:val="22"/>
                <w:szCs w:val="22"/>
                <w:lang w:val="en-ZA"/>
              </w:rPr>
              <w:t>How to Comment</w:t>
            </w:r>
          </w:p>
          <w:p w14:paraId="169CFF4F" w14:textId="77777777" w:rsidR="00160B19" w:rsidRPr="00622182" w:rsidRDefault="00160B19" w:rsidP="00160B19">
            <w:pPr>
              <w:spacing w:after="120" w:line="312" w:lineRule="auto"/>
              <w:ind w:right="232"/>
              <w:jc w:val="both"/>
              <w:rPr>
                <w:rFonts w:ascii="Arial" w:hAnsi="Arial" w:cs="Arial"/>
                <w:b/>
                <w:bCs/>
                <w:i/>
                <w:sz w:val="22"/>
                <w:szCs w:val="22"/>
              </w:rPr>
            </w:pPr>
            <w:r w:rsidRPr="00622182">
              <w:rPr>
                <w:rFonts w:ascii="Arial" w:hAnsi="Arial" w:cs="Arial"/>
                <w:b/>
                <w:bCs/>
                <w:i/>
                <w:sz w:val="22"/>
                <w:szCs w:val="22"/>
              </w:rPr>
              <w:t>To the IRBA</w:t>
            </w:r>
          </w:p>
          <w:p w14:paraId="1FFB34AC" w14:textId="76BB18E3" w:rsidR="00160B19" w:rsidRPr="00622182" w:rsidRDefault="00160B19" w:rsidP="00160B19">
            <w:pPr>
              <w:spacing w:after="120" w:line="312" w:lineRule="auto"/>
              <w:ind w:right="232"/>
              <w:jc w:val="both"/>
              <w:rPr>
                <w:rFonts w:ascii="Arial" w:eastAsiaTheme="minorHAnsi" w:hAnsi="Arial" w:cs="Arial"/>
                <w:sz w:val="22"/>
                <w:szCs w:val="22"/>
                <w:lang w:val="en-ZA"/>
              </w:rPr>
            </w:pPr>
            <w:r w:rsidRPr="00622182">
              <w:rPr>
                <w:rFonts w:ascii="Arial" w:eastAsiaTheme="minorHAnsi" w:hAnsi="Arial" w:cs="Arial"/>
                <w:sz w:val="22"/>
                <w:szCs w:val="22"/>
                <w:lang w:val="en-ZA"/>
              </w:rPr>
              <w:t xml:space="preserve">Comments may be submitted to the IRBA by </w:t>
            </w:r>
            <w:r>
              <w:rPr>
                <w:rFonts w:ascii="Arial" w:eastAsiaTheme="minorHAnsi" w:hAnsi="Arial" w:cs="Arial"/>
                <w:sz w:val="22"/>
                <w:szCs w:val="22"/>
                <w:lang w:val="en-ZA"/>
              </w:rPr>
              <w:t>1</w:t>
            </w:r>
            <w:r w:rsidRPr="00622182">
              <w:rPr>
                <w:rFonts w:ascii="Arial" w:eastAsiaTheme="minorHAnsi" w:hAnsi="Arial" w:cs="Arial"/>
                <w:sz w:val="22"/>
                <w:szCs w:val="22"/>
                <w:lang w:val="en-ZA"/>
              </w:rPr>
              <w:t xml:space="preserve"> February 2017 (</w:t>
            </w:r>
            <w:r>
              <w:rPr>
                <w:rFonts w:ascii="Arial" w:eastAsiaTheme="minorHAnsi" w:hAnsi="Arial" w:cs="Arial"/>
                <w:sz w:val="22"/>
                <w:szCs w:val="22"/>
                <w:lang w:val="en-ZA"/>
              </w:rPr>
              <w:t>two</w:t>
            </w:r>
            <w:r w:rsidRPr="00622182">
              <w:rPr>
                <w:rFonts w:ascii="Arial" w:eastAsiaTheme="minorHAnsi" w:hAnsi="Arial" w:cs="Arial"/>
                <w:sz w:val="22"/>
                <w:szCs w:val="22"/>
                <w:lang w:val="en-ZA"/>
              </w:rPr>
              <w:t xml:space="preserve"> weeks before the IAASB comment date deadline). The </w:t>
            </w:r>
            <w:r>
              <w:rPr>
                <w:rFonts w:ascii="Arial" w:eastAsiaTheme="minorHAnsi" w:hAnsi="Arial" w:cs="Arial"/>
                <w:sz w:val="22"/>
                <w:szCs w:val="22"/>
                <w:lang w:val="en-ZA"/>
              </w:rPr>
              <w:t xml:space="preserve">comments received will inform the </w:t>
            </w:r>
            <w:r w:rsidRPr="00622182">
              <w:rPr>
                <w:rFonts w:ascii="Arial" w:eastAsiaTheme="minorHAnsi" w:hAnsi="Arial" w:cs="Arial"/>
                <w:sz w:val="22"/>
                <w:szCs w:val="22"/>
                <w:lang w:val="en-ZA"/>
              </w:rPr>
              <w:t>IRBA</w:t>
            </w:r>
            <w:r>
              <w:rPr>
                <w:rFonts w:ascii="Calibri" w:eastAsiaTheme="minorHAnsi" w:hAnsi="Calibri" w:cs="Arial"/>
                <w:sz w:val="22"/>
                <w:szCs w:val="22"/>
                <w:lang w:val="en-ZA"/>
              </w:rPr>
              <w:t>'</w:t>
            </w:r>
            <w:r>
              <w:rPr>
                <w:rFonts w:ascii="Arial" w:eastAsiaTheme="minorHAnsi" w:hAnsi="Arial" w:cs="Arial"/>
                <w:sz w:val="22"/>
                <w:szCs w:val="22"/>
                <w:lang w:val="en-ZA"/>
              </w:rPr>
              <w:t>s</w:t>
            </w:r>
            <w:r w:rsidRPr="00622182">
              <w:rPr>
                <w:rFonts w:ascii="Arial" w:eastAsiaTheme="minorHAnsi" w:hAnsi="Arial" w:cs="Arial"/>
                <w:sz w:val="22"/>
                <w:szCs w:val="22"/>
                <w:lang w:val="en-ZA"/>
              </w:rPr>
              <w:t xml:space="preserve"> comment</w:t>
            </w:r>
            <w:r>
              <w:rPr>
                <w:rFonts w:ascii="Arial" w:eastAsiaTheme="minorHAnsi" w:hAnsi="Arial" w:cs="Arial"/>
                <w:sz w:val="22"/>
                <w:szCs w:val="22"/>
                <w:lang w:val="en-ZA"/>
              </w:rPr>
              <w:t xml:space="preserve"> letter</w:t>
            </w:r>
            <w:r w:rsidRPr="00622182">
              <w:rPr>
                <w:rFonts w:ascii="Arial" w:eastAsiaTheme="minorHAnsi" w:hAnsi="Arial" w:cs="Arial"/>
                <w:sz w:val="22"/>
                <w:szCs w:val="22"/>
                <w:lang w:val="en-ZA"/>
              </w:rPr>
              <w:t xml:space="preserve">. Comments should be submitted </w:t>
            </w:r>
            <w:r>
              <w:rPr>
                <w:rFonts w:ascii="Arial" w:eastAsiaTheme="minorHAnsi" w:hAnsi="Arial" w:cs="Arial"/>
                <w:sz w:val="22"/>
                <w:szCs w:val="22"/>
                <w:lang w:val="en-ZA"/>
              </w:rPr>
              <w:t>in Word format and</w:t>
            </w:r>
            <w:r w:rsidRPr="00622182">
              <w:rPr>
                <w:rFonts w:ascii="Arial" w:eastAsiaTheme="minorHAnsi" w:hAnsi="Arial" w:cs="Arial"/>
                <w:sz w:val="22"/>
                <w:szCs w:val="22"/>
                <w:lang w:val="en-ZA"/>
              </w:rPr>
              <w:t xml:space="preserve"> email</w:t>
            </w:r>
            <w:r>
              <w:rPr>
                <w:rFonts w:ascii="Arial" w:eastAsiaTheme="minorHAnsi" w:hAnsi="Arial" w:cs="Arial"/>
                <w:sz w:val="22"/>
                <w:szCs w:val="22"/>
                <w:lang w:val="en-ZA"/>
              </w:rPr>
              <w:t>ed</w:t>
            </w:r>
            <w:r w:rsidRPr="00622182">
              <w:rPr>
                <w:rFonts w:ascii="Arial" w:eastAsiaTheme="minorHAnsi" w:hAnsi="Arial" w:cs="Arial"/>
                <w:sz w:val="22"/>
                <w:szCs w:val="22"/>
                <w:lang w:val="en-ZA"/>
              </w:rPr>
              <w:t xml:space="preserve"> to </w:t>
            </w:r>
            <w:hyperlink r:id="rId7" w:history="1">
              <w:r w:rsidRPr="00622182">
                <w:rPr>
                  <w:rStyle w:val="Hyperlink"/>
                  <w:rFonts w:ascii="Arial" w:hAnsi="Arial" w:cs="Arial"/>
                  <w:sz w:val="22"/>
                  <w:szCs w:val="22"/>
                </w:rPr>
                <w:t>standards@irba.co.za</w:t>
              </w:r>
            </w:hyperlink>
            <w:r w:rsidRPr="00622182">
              <w:rPr>
                <w:rFonts w:ascii="Arial" w:eastAsiaTheme="minorHAnsi" w:hAnsi="Arial" w:cs="Arial"/>
                <w:sz w:val="22"/>
                <w:szCs w:val="22"/>
                <w:lang w:val="en-ZA"/>
              </w:rPr>
              <w:t>.</w:t>
            </w:r>
          </w:p>
          <w:p w14:paraId="03205C17" w14:textId="77777777" w:rsidR="00160B19" w:rsidRPr="00622182" w:rsidRDefault="00160B19" w:rsidP="00160B19">
            <w:pPr>
              <w:spacing w:after="120" w:line="312" w:lineRule="auto"/>
              <w:ind w:right="232"/>
              <w:jc w:val="both"/>
              <w:rPr>
                <w:rFonts w:ascii="Arial" w:hAnsi="Arial" w:cs="Arial"/>
                <w:bCs/>
                <w:sz w:val="22"/>
                <w:szCs w:val="22"/>
              </w:rPr>
            </w:pPr>
          </w:p>
          <w:p w14:paraId="0B799B47" w14:textId="77777777" w:rsidR="00160B19" w:rsidRPr="00622182" w:rsidRDefault="00160B19" w:rsidP="00160B19">
            <w:pPr>
              <w:spacing w:after="120" w:line="312" w:lineRule="auto"/>
              <w:ind w:right="232"/>
              <w:jc w:val="both"/>
              <w:rPr>
                <w:rFonts w:ascii="Arial" w:hAnsi="Arial" w:cs="Arial"/>
                <w:b/>
                <w:bCs/>
                <w:i/>
                <w:sz w:val="22"/>
                <w:szCs w:val="22"/>
              </w:rPr>
            </w:pPr>
            <w:r w:rsidRPr="00622182">
              <w:rPr>
                <w:rFonts w:ascii="Arial" w:hAnsi="Arial" w:cs="Arial"/>
                <w:b/>
                <w:bCs/>
                <w:i/>
                <w:sz w:val="22"/>
                <w:szCs w:val="22"/>
              </w:rPr>
              <w:t>To the IAASB</w:t>
            </w:r>
          </w:p>
          <w:p w14:paraId="534699C2" w14:textId="5A27E006" w:rsidR="00160B19" w:rsidRPr="00622182" w:rsidRDefault="00160B19" w:rsidP="00160B19">
            <w:pPr>
              <w:pStyle w:val="NormalWeb"/>
              <w:spacing w:before="0" w:beforeAutospacing="0" w:after="120" w:afterAutospacing="0" w:line="312" w:lineRule="auto"/>
              <w:jc w:val="both"/>
              <w:rPr>
                <w:rFonts w:ascii="Arial" w:hAnsi="Arial" w:cs="Arial"/>
                <w:color w:val="000000"/>
                <w:sz w:val="22"/>
                <w:szCs w:val="22"/>
              </w:rPr>
            </w:pPr>
            <w:r>
              <w:rPr>
                <w:rFonts w:ascii="Arial" w:hAnsi="Arial" w:cs="Arial"/>
                <w:color w:val="000000"/>
                <w:sz w:val="22"/>
                <w:szCs w:val="22"/>
              </w:rPr>
              <w:t>C</w:t>
            </w:r>
            <w:r w:rsidRPr="00622182">
              <w:rPr>
                <w:rFonts w:ascii="Arial" w:hAnsi="Arial" w:cs="Arial"/>
                <w:color w:val="000000"/>
                <w:sz w:val="22"/>
                <w:szCs w:val="22"/>
              </w:rPr>
              <w:t>omments may be submitted directly to</w:t>
            </w:r>
            <w:r>
              <w:rPr>
                <w:rFonts w:ascii="Arial" w:hAnsi="Arial" w:cs="Arial"/>
                <w:color w:val="000000"/>
                <w:sz w:val="22"/>
                <w:szCs w:val="22"/>
              </w:rPr>
              <w:t xml:space="preserve"> the</w:t>
            </w:r>
            <w:r w:rsidRPr="00622182">
              <w:rPr>
                <w:rFonts w:ascii="Arial" w:hAnsi="Arial" w:cs="Arial"/>
                <w:color w:val="000000"/>
                <w:sz w:val="22"/>
                <w:szCs w:val="22"/>
              </w:rPr>
              <w:t xml:space="preserve"> </w:t>
            </w:r>
            <w:r>
              <w:rPr>
                <w:rFonts w:ascii="Arial" w:hAnsi="Arial" w:cs="Arial"/>
                <w:color w:val="000000"/>
                <w:sz w:val="22"/>
                <w:szCs w:val="22"/>
              </w:rPr>
              <w:t xml:space="preserve">IAASB by </w:t>
            </w:r>
            <w:r w:rsidR="00DA5BE2">
              <w:rPr>
                <w:rFonts w:ascii="Arial" w:hAnsi="Arial" w:cs="Arial"/>
                <w:color w:val="000000"/>
                <w:sz w:val="22"/>
                <w:szCs w:val="22"/>
              </w:rPr>
              <w:t>the deadline of 15 February 2017</w:t>
            </w:r>
            <w:bookmarkStart w:id="0" w:name="_GoBack"/>
            <w:bookmarkEnd w:id="0"/>
            <w:r w:rsidRPr="00622182">
              <w:rPr>
                <w:rFonts w:ascii="Arial" w:hAnsi="Arial" w:cs="Arial"/>
                <w:color w:val="000000"/>
                <w:sz w:val="22"/>
                <w:szCs w:val="22"/>
              </w:rPr>
              <w:t xml:space="preserve">. Respondents </w:t>
            </w:r>
            <w:r>
              <w:rPr>
                <w:rFonts w:ascii="Arial" w:hAnsi="Arial" w:cs="Arial"/>
                <w:color w:val="000000"/>
                <w:sz w:val="22"/>
                <w:szCs w:val="22"/>
              </w:rPr>
              <w:t>should</w:t>
            </w:r>
            <w:r w:rsidRPr="00622182">
              <w:rPr>
                <w:rFonts w:ascii="Arial" w:hAnsi="Arial" w:cs="Arial"/>
                <w:color w:val="000000"/>
                <w:sz w:val="22"/>
                <w:szCs w:val="22"/>
              </w:rPr>
              <w:t xml:space="preserve"> </w:t>
            </w:r>
            <w:r>
              <w:rPr>
                <w:rFonts w:ascii="Arial" w:hAnsi="Arial" w:cs="Arial"/>
                <w:color w:val="000000"/>
                <w:sz w:val="22"/>
                <w:szCs w:val="22"/>
              </w:rPr>
              <w:t xml:space="preserve">submit their comments on the </w:t>
            </w:r>
            <w:hyperlink r:id="rId8" w:history="1">
              <w:r>
                <w:rPr>
                  <w:rStyle w:val="Hyperlink"/>
                  <w:rFonts w:ascii="Arial" w:hAnsi="Arial" w:cs="Arial"/>
                  <w:sz w:val="22"/>
                  <w:szCs w:val="22"/>
                </w:rPr>
                <w:t>IAASB</w:t>
              </w:r>
              <w:r>
                <w:rPr>
                  <w:rStyle w:val="Hyperlink"/>
                  <w:rFonts w:ascii="Calibri" w:hAnsi="Calibri" w:cs="Arial"/>
                  <w:sz w:val="22"/>
                  <w:szCs w:val="22"/>
                </w:rPr>
                <w:t>'</w:t>
              </w:r>
              <w:r w:rsidRPr="00160B19">
                <w:rPr>
                  <w:rStyle w:val="Hyperlink"/>
                  <w:rFonts w:ascii="Arial" w:hAnsi="Arial" w:cs="Arial"/>
                  <w:sz w:val="22"/>
                  <w:szCs w:val="22"/>
                </w:rPr>
                <w:t>s website</w:t>
              </w:r>
            </w:hyperlink>
            <w:r>
              <w:rPr>
                <w:rFonts w:ascii="Arial" w:hAnsi="Arial" w:cs="Arial"/>
                <w:color w:val="000000"/>
                <w:sz w:val="22"/>
                <w:szCs w:val="22"/>
              </w:rPr>
              <w:t>.</w:t>
            </w:r>
            <w:r w:rsidRPr="00622182">
              <w:rPr>
                <w:rFonts w:ascii="Arial" w:hAnsi="Arial" w:cs="Arial"/>
                <w:color w:val="000000"/>
                <w:sz w:val="22"/>
                <w:szCs w:val="22"/>
              </w:rPr>
              <w:t xml:space="preserve"> All comments will be considered a matter of public record and posted on</w:t>
            </w:r>
            <w:r>
              <w:rPr>
                <w:rFonts w:ascii="Arial" w:hAnsi="Arial" w:cs="Arial"/>
                <w:color w:val="000000"/>
                <w:sz w:val="22"/>
                <w:szCs w:val="22"/>
              </w:rPr>
              <w:t xml:space="preserve"> the</w:t>
            </w:r>
            <w:r w:rsidRPr="00622182">
              <w:rPr>
                <w:rFonts w:ascii="Arial" w:hAnsi="Arial" w:cs="Arial"/>
                <w:color w:val="000000"/>
                <w:sz w:val="22"/>
                <w:szCs w:val="22"/>
              </w:rPr>
              <w:t xml:space="preserve"> </w:t>
            </w:r>
            <w:r>
              <w:rPr>
                <w:rFonts w:ascii="Arial" w:hAnsi="Arial" w:cs="Arial"/>
                <w:color w:val="000000"/>
                <w:sz w:val="22"/>
                <w:szCs w:val="22"/>
              </w:rPr>
              <w:t>IAASB</w:t>
            </w:r>
            <w:r>
              <w:rPr>
                <w:rFonts w:ascii="Calibri" w:hAnsi="Calibri" w:cs="Arial"/>
                <w:color w:val="000000"/>
                <w:sz w:val="22"/>
                <w:szCs w:val="22"/>
              </w:rPr>
              <w:t>'</w:t>
            </w:r>
            <w:r>
              <w:rPr>
                <w:rFonts w:ascii="Arial" w:hAnsi="Arial" w:cs="Arial"/>
                <w:color w:val="000000"/>
                <w:sz w:val="22"/>
                <w:szCs w:val="22"/>
              </w:rPr>
              <w:t>s</w:t>
            </w:r>
            <w:r w:rsidRPr="00622182">
              <w:rPr>
                <w:rFonts w:ascii="Arial" w:hAnsi="Arial" w:cs="Arial"/>
                <w:color w:val="000000"/>
                <w:sz w:val="22"/>
                <w:szCs w:val="22"/>
              </w:rPr>
              <w:t xml:space="preserve"> website.</w:t>
            </w:r>
          </w:p>
          <w:p w14:paraId="56858354" w14:textId="6BC5D6F1" w:rsidR="00160B19" w:rsidRDefault="00160B19" w:rsidP="00160B19">
            <w:pPr>
              <w:spacing w:after="120" w:line="312" w:lineRule="auto"/>
              <w:jc w:val="both"/>
              <w:rPr>
                <w:rFonts w:ascii="Arial" w:hAnsi="Arial" w:cs="Arial"/>
                <w:sz w:val="22"/>
                <w:szCs w:val="22"/>
              </w:rPr>
            </w:pPr>
            <w:r w:rsidRPr="00622182">
              <w:rPr>
                <w:sz w:val="22"/>
                <w:szCs w:val="22"/>
              </w:rPr>
              <w:br/>
            </w:r>
            <w:r w:rsidRPr="00622182">
              <w:rPr>
                <w:rFonts w:ascii="Arial" w:hAnsi="Arial" w:cs="Arial"/>
                <w:sz w:val="22"/>
                <w:szCs w:val="22"/>
              </w:rPr>
              <w:t xml:space="preserve">More information and updates on the project are available on the </w:t>
            </w:r>
            <w:hyperlink r:id="rId9" w:history="1">
              <w:r>
                <w:rPr>
                  <w:rStyle w:val="Hyperlink"/>
                  <w:rFonts w:ascii="Arial" w:hAnsi="Arial" w:cs="Arial"/>
                  <w:sz w:val="22"/>
                  <w:szCs w:val="22"/>
                </w:rPr>
                <w:t>IAASB</w:t>
              </w:r>
              <w:r>
                <w:rPr>
                  <w:rStyle w:val="Hyperlink"/>
                  <w:rFonts w:ascii="Calibri" w:hAnsi="Calibri" w:cs="Arial"/>
                  <w:sz w:val="22"/>
                  <w:szCs w:val="22"/>
                </w:rPr>
                <w:t>'</w:t>
              </w:r>
              <w:r w:rsidRPr="00160B19">
                <w:rPr>
                  <w:rStyle w:val="Hyperlink"/>
                  <w:rFonts w:ascii="Arial" w:hAnsi="Arial" w:cs="Arial"/>
                  <w:sz w:val="22"/>
                  <w:szCs w:val="22"/>
                </w:rPr>
                <w:t>s project page</w:t>
              </w:r>
            </w:hyperlink>
            <w:r w:rsidRPr="00622182">
              <w:rPr>
                <w:rFonts w:ascii="Arial" w:hAnsi="Arial" w:cs="Arial"/>
                <w:sz w:val="22"/>
                <w:szCs w:val="22"/>
              </w:rPr>
              <w:t>.</w:t>
            </w:r>
          </w:p>
          <w:p w14:paraId="5B0C1298" w14:textId="77777777" w:rsidR="00160B19" w:rsidRPr="00622182" w:rsidRDefault="00160B19" w:rsidP="00160B19">
            <w:pPr>
              <w:spacing w:after="120" w:line="312" w:lineRule="auto"/>
              <w:jc w:val="both"/>
              <w:rPr>
                <w:rFonts w:ascii="Arial" w:hAnsi="Arial" w:cs="Arial"/>
                <w:b/>
                <w:noProof/>
                <w:sz w:val="22"/>
                <w:szCs w:val="22"/>
                <w:lang w:val="en-GB"/>
              </w:rPr>
            </w:pPr>
            <w:r w:rsidRPr="00622182">
              <w:rPr>
                <w:sz w:val="22"/>
                <w:szCs w:val="22"/>
              </w:rPr>
              <w:br/>
            </w:r>
            <w:r w:rsidRPr="00622182">
              <w:rPr>
                <w:rFonts w:ascii="Arial" w:hAnsi="Arial" w:cs="Arial"/>
                <w:b/>
                <w:noProof/>
                <w:sz w:val="22"/>
                <w:szCs w:val="22"/>
                <w:lang w:val="en-GB"/>
              </w:rPr>
              <w:t>Imran Vanker</w:t>
            </w:r>
          </w:p>
          <w:p w14:paraId="79322C54" w14:textId="77777777" w:rsidR="00160B19" w:rsidRPr="00622182" w:rsidRDefault="00160B19" w:rsidP="00160B19">
            <w:pPr>
              <w:spacing w:after="120" w:line="312" w:lineRule="auto"/>
              <w:jc w:val="both"/>
              <w:rPr>
                <w:rFonts w:ascii="Arial" w:hAnsi="Arial" w:cs="Arial"/>
                <w:b/>
                <w:noProof/>
                <w:sz w:val="22"/>
                <w:szCs w:val="22"/>
                <w:lang w:val="en-GB"/>
              </w:rPr>
            </w:pPr>
            <w:r w:rsidRPr="00622182">
              <w:rPr>
                <w:rFonts w:ascii="Arial" w:hAnsi="Arial" w:cs="Arial"/>
                <w:b/>
                <w:noProof/>
                <w:sz w:val="22"/>
                <w:szCs w:val="22"/>
                <w:lang w:val="en-GB"/>
              </w:rPr>
              <w:t>Director: Standards</w:t>
            </w:r>
          </w:p>
          <w:p w14:paraId="14DB8DED" w14:textId="77777777" w:rsidR="00160B19" w:rsidRPr="00AE70E7" w:rsidRDefault="00160B19" w:rsidP="00160B19">
            <w:pPr>
              <w:spacing w:after="120" w:line="312" w:lineRule="auto"/>
              <w:jc w:val="both"/>
              <w:rPr>
                <w:rFonts w:ascii="Arial" w:hAnsi="Arial" w:cs="Arial"/>
                <w:b/>
                <w:i/>
                <w:noProof/>
                <w:sz w:val="22"/>
                <w:szCs w:val="22"/>
                <w:lang w:val="en-GB"/>
              </w:rPr>
            </w:pPr>
          </w:p>
          <w:p w14:paraId="45E076DE" w14:textId="77777777" w:rsidR="00160B19" w:rsidRPr="00AE70E7" w:rsidRDefault="00160B19" w:rsidP="00160B19">
            <w:pPr>
              <w:spacing w:after="120" w:line="312" w:lineRule="auto"/>
              <w:jc w:val="both"/>
              <w:rPr>
                <w:rFonts w:ascii="Arial" w:hAnsi="Arial" w:cs="Arial"/>
                <w:b/>
                <w:i/>
                <w:noProof/>
                <w:sz w:val="22"/>
                <w:szCs w:val="22"/>
                <w:lang w:val="en-GB"/>
              </w:rPr>
            </w:pPr>
            <w:r w:rsidRPr="00AE70E7">
              <w:rPr>
                <w:rFonts w:ascii="Arial" w:hAnsi="Arial" w:cs="Arial"/>
                <w:b/>
                <w:i/>
                <w:noProof/>
                <w:sz w:val="22"/>
                <w:szCs w:val="22"/>
                <w:lang w:val="en-GB"/>
              </w:rPr>
              <w:t>About the IRBA</w:t>
            </w:r>
          </w:p>
          <w:p w14:paraId="4F3CFE36" w14:textId="77777777" w:rsidR="00160B19" w:rsidRPr="00AE70E7" w:rsidRDefault="00160B19" w:rsidP="00160B19">
            <w:pPr>
              <w:spacing w:after="120" w:line="312" w:lineRule="auto"/>
              <w:jc w:val="both"/>
              <w:rPr>
                <w:rFonts w:ascii="Arial" w:hAnsi="Arial" w:cs="Arial"/>
                <w:sz w:val="22"/>
                <w:szCs w:val="22"/>
              </w:rPr>
            </w:pPr>
            <w:r w:rsidRPr="00AE70E7">
              <w:rPr>
                <w:rFonts w:ascii="Arial" w:hAnsi="Arial" w:cs="Arial"/>
                <w:i/>
                <w:iCs/>
                <w:sz w:val="22"/>
                <w:szCs w:val="22"/>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4EAEE524" w14:textId="77777777" w:rsidR="00160B19" w:rsidRDefault="00160B19" w:rsidP="00160B19">
            <w:pPr>
              <w:spacing w:after="120" w:line="312" w:lineRule="auto"/>
              <w:jc w:val="both"/>
              <w:rPr>
                <w:rFonts w:ascii="Arial" w:hAnsi="Arial" w:cs="Arial"/>
              </w:rPr>
            </w:pPr>
          </w:p>
        </w:tc>
      </w:tr>
    </w:tbl>
    <w:p w14:paraId="1CFE2A2D" w14:textId="77777777" w:rsidR="00160B19" w:rsidRDefault="00160B19" w:rsidP="00622182">
      <w:pPr>
        <w:spacing w:after="120" w:line="312" w:lineRule="auto"/>
        <w:jc w:val="center"/>
        <w:rPr>
          <w:rFonts w:ascii="Arial" w:hAnsi="Arial" w:cs="Arial"/>
        </w:rPr>
      </w:pPr>
    </w:p>
    <w:p w14:paraId="156552E2" w14:textId="77777777" w:rsidR="00160B19" w:rsidRPr="00F76271" w:rsidRDefault="00160B19" w:rsidP="00622182">
      <w:pPr>
        <w:spacing w:after="120" w:line="312" w:lineRule="auto"/>
        <w:jc w:val="center"/>
        <w:rPr>
          <w:rFonts w:ascii="Arial" w:hAnsi="Arial" w:cs="Arial"/>
        </w:rPr>
      </w:pPr>
    </w:p>
    <w:p w14:paraId="51F9D6B0" w14:textId="76C42E0A" w:rsidR="00F76271" w:rsidRPr="00AE70E7" w:rsidRDefault="00F76271" w:rsidP="00622182">
      <w:pPr>
        <w:spacing w:after="120" w:line="312" w:lineRule="auto"/>
        <w:jc w:val="both"/>
        <w:rPr>
          <w:rFonts w:ascii="Arial" w:hAnsi="Arial" w:cs="Arial"/>
          <w:sz w:val="22"/>
          <w:szCs w:val="22"/>
        </w:rPr>
      </w:pPr>
    </w:p>
    <w:sectPr w:rsidR="00F76271" w:rsidRPr="00AE70E7"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74BF2"/>
    <w:multiLevelType w:val="hybridMultilevel"/>
    <w:tmpl w:val="95E4F4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09CB5A4E"/>
    <w:multiLevelType w:val="multilevel"/>
    <w:tmpl w:val="6496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82AD6"/>
    <w:multiLevelType w:val="hybridMultilevel"/>
    <w:tmpl w:val="A6E0653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B">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BCC1E65"/>
    <w:multiLevelType w:val="hybridMultilevel"/>
    <w:tmpl w:val="9E3625B6"/>
    <w:lvl w:ilvl="0" w:tplc="2D2EA716">
      <w:numFmt w:val="bullet"/>
      <w:lvlText w:val="-"/>
      <w:lvlJc w:val="left"/>
      <w:pPr>
        <w:ind w:left="720" w:hanging="360"/>
      </w:pPr>
      <w:rPr>
        <w:rFonts w:ascii="Arial" w:eastAsiaTheme="minorHAnsi" w:hAnsi="Arial" w:cs="Arial" w:hint="default"/>
        <w:u w:val="no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1E511DD"/>
    <w:multiLevelType w:val="multilevel"/>
    <w:tmpl w:val="E2429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461C0"/>
    <w:multiLevelType w:val="multilevel"/>
    <w:tmpl w:val="9B04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682FE5"/>
    <w:multiLevelType w:val="multilevel"/>
    <w:tmpl w:val="2D92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C91235"/>
    <w:multiLevelType w:val="hybridMultilevel"/>
    <w:tmpl w:val="44A49F5C"/>
    <w:lvl w:ilvl="0" w:tplc="F7BA327E">
      <w:start w:val="1"/>
      <w:numFmt w:val="bullet"/>
      <w:lvlText w:val="•"/>
      <w:lvlJc w:val="left"/>
      <w:pPr>
        <w:tabs>
          <w:tab w:val="num" w:pos="720"/>
        </w:tabs>
        <w:ind w:left="720" w:hanging="360"/>
      </w:pPr>
      <w:rPr>
        <w:rFonts w:ascii="Times New Roman" w:hAnsi="Times New Roman" w:hint="default"/>
      </w:rPr>
    </w:lvl>
    <w:lvl w:ilvl="1" w:tplc="98E28CE2">
      <w:start w:val="31"/>
      <w:numFmt w:val="bullet"/>
      <w:lvlText w:val="–"/>
      <w:lvlJc w:val="left"/>
      <w:pPr>
        <w:tabs>
          <w:tab w:val="num" w:pos="1440"/>
        </w:tabs>
        <w:ind w:left="1440" w:hanging="360"/>
      </w:pPr>
      <w:rPr>
        <w:rFonts w:ascii="Times New Roman" w:hAnsi="Times New Roman" w:hint="default"/>
      </w:rPr>
    </w:lvl>
    <w:lvl w:ilvl="2" w:tplc="4FF0324C" w:tentative="1">
      <w:start w:val="1"/>
      <w:numFmt w:val="bullet"/>
      <w:lvlText w:val="•"/>
      <w:lvlJc w:val="left"/>
      <w:pPr>
        <w:tabs>
          <w:tab w:val="num" w:pos="2160"/>
        </w:tabs>
        <w:ind w:left="2160" w:hanging="360"/>
      </w:pPr>
      <w:rPr>
        <w:rFonts w:ascii="Times New Roman" w:hAnsi="Times New Roman" w:hint="default"/>
      </w:rPr>
    </w:lvl>
    <w:lvl w:ilvl="3" w:tplc="F736801E" w:tentative="1">
      <w:start w:val="1"/>
      <w:numFmt w:val="bullet"/>
      <w:lvlText w:val="•"/>
      <w:lvlJc w:val="left"/>
      <w:pPr>
        <w:tabs>
          <w:tab w:val="num" w:pos="2880"/>
        </w:tabs>
        <w:ind w:left="2880" w:hanging="360"/>
      </w:pPr>
      <w:rPr>
        <w:rFonts w:ascii="Times New Roman" w:hAnsi="Times New Roman" w:hint="default"/>
      </w:rPr>
    </w:lvl>
    <w:lvl w:ilvl="4" w:tplc="8E6E8884" w:tentative="1">
      <w:start w:val="1"/>
      <w:numFmt w:val="bullet"/>
      <w:lvlText w:val="•"/>
      <w:lvlJc w:val="left"/>
      <w:pPr>
        <w:tabs>
          <w:tab w:val="num" w:pos="3600"/>
        </w:tabs>
        <w:ind w:left="3600" w:hanging="360"/>
      </w:pPr>
      <w:rPr>
        <w:rFonts w:ascii="Times New Roman" w:hAnsi="Times New Roman" w:hint="default"/>
      </w:rPr>
    </w:lvl>
    <w:lvl w:ilvl="5" w:tplc="C1B01042" w:tentative="1">
      <w:start w:val="1"/>
      <w:numFmt w:val="bullet"/>
      <w:lvlText w:val="•"/>
      <w:lvlJc w:val="left"/>
      <w:pPr>
        <w:tabs>
          <w:tab w:val="num" w:pos="4320"/>
        </w:tabs>
        <w:ind w:left="4320" w:hanging="360"/>
      </w:pPr>
      <w:rPr>
        <w:rFonts w:ascii="Times New Roman" w:hAnsi="Times New Roman" w:hint="default"/>
      </w:rPr>
    </w:lvl>
    <w:lvl w:ilvl="6" w:tplc="158E6650" w:tentative="1">
      <w:start w:val="1"/>
      <w:numFmt w:val="bullet"/>
      <w:lvlText w:val="•"/>
      <w:lvlJc w:val="left"/>
      <w:pPr>
        <w:tabs>
          <w:tab w:val="num" w:pos="5040"/>
        </w:tabs>
        <w:ind w:left="5040" w:hanging="360"/>
      </w:pPr>
      <w:rPr>
        <w:rFonts w:ascii="Times New Roman" w:hAnsi="Times New Roman" w:hint="default"/>
      </w:rPr>
    </w:lvl>
    <w:lvl w:ilvl="7" w:tplc="816C84DE" w:tentative="1">
      <w:start w:val="1"/>
      <w:numFmt w:val="bullet"/>
      <w:lvlText w:val="•"/>
      <w:lvlJc w:val="left"/>
      <w:pPr>
        <w:tabs>
          <w:tab w:val="num" w:pos="5760"/>
        </w:tabs>
        <w:ind w:left="5760" w:hanging="360"/>
      </w:pPr>
      <w:rPr>
        <w:rFonts w:ascii="Times New Roman" w:hAnsi="Times New Roman" w:hint="default"/>
      </w:rPr>
    </w:lvl>
    <w:lvl w:ilvl="8" w:tplc="994C9E4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CF40D50"/>
    <w:multiLevelType w:val="hybridMultilevel"/>
    <w:tmpl w:val="B12093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411C18F2"/>
    <w:multiLevelType w:val="multilevel"/>
    <w:tmpl w:val="83BA0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2D0776"/>
    <w:multiLevelType w:val="hybridMultilevel"/>
    <w:tmpl w:val="27D8120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456F012B"/>
    <w:multiLevelType w:val="hybridMultilevel"/>
    <w:tmpl w:val="EEB88C0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6DB141B"/>
    <w:multiLevelType w:val="hybridMultilevel"/>
    <w:tmpl w:val="21F04E96"/>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57AC263D"/>
    <w:multiLevelType w:val="hybridMultilevel"/>
    <w:tmpl w:val="3B8CE4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CE1708F"/>
    <w:multiLevelType w:val="hybridMultilevel"/>
    <w:tmpl w:val="395E5C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F1C7292"/>
    <w:multiLevelType w:val="multilevel"/>
    <w:tmpl w:val="525AA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D04193"/>
    <w:multiLevelType w:val="hybridMultilevel"/>
    <w:tmpl w:val="CF22D7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463461D"/>
    <w:multiLevelType w:val="multilevel"/>
    <w:tmpl w:val="1D48D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13"/>
  </w:num>
  <w:num w:numId="4">
    <w:abstractNumId w:val="14"/>
  </w:num>
  <w:num w:numId="5">
    <w:abstractNumId w:val="16"/>
  </w:num>
  <w:num w:numId="6">
    <w:abstractNumId w:val="7"/>
  </w:num>
  <w:num w:numId="7">
    <w:abstractNumId w:val="2"/>
  </w:num>
  <w:num w:numId="8">
    <w:abstractNumId w:val="12"/>
  </w:num>
  <w:num w:numId="9">
    <w:abstractNumId w:val="0"/>
  </w:num>
  <w:num w:numId="10">
    <w:abstractNumId w:val="3"/>
  </w:num>
  <w:num w:numId="11">
    <w:abstractNumId w:val="5"/>
  </w:num>
  <w:num w:numId="12">
    <w:abstractNumId w:val="1"/>
  </w:num>
  <w:num w:numId="13">
    <w:abstractNumId w:val="4"/>
  </w:num>
  <w:num w:numId="14">
    <w:abstractNumId w:val="15"/>
  </w:num>
  <w:num w:numId="15">
    <w:abstractNumId w:val="6"/>
  </w:num>
  <w:num w:numId="16">
    <w:abstractNumId w:val="11"/>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127A9"/>
    <w:rsid w:val="00021B02"/>
    <w:rsid w:val="0007286A"/>
    <w:rsid w:val="0009199A"/>
    <w:rsid w:val="000954E0"/>
    <w:rsid w:val="000B3E9C"/>
    <w:rsid w:val="000B6627"/>
    <w:rsid w:val="000E0A4B"/>
    <w:rsid w:val="000E0DE8"/>
    <w:rsid w:val="00160B19"/>
    <w:rsid w:val="00184161"/>
    <w:rsid w:val="001B0AAE"/>
    <w:rsid w:val="001B4CD5"/>
    <w:rsid w:val="001C3EF1"/>
    <w:rsid w:val="001C5EA9"/>
    <w:rsid w:val="00234685"/>
    <w:rsid w:val="0024150C"/>
    <w:rsid w:val="002475AA"/>
    <w:rsid w:val="00267B8C"/>
    <w:rsid w:val="00287884"/>
    <w:rsid w:val="002A66DA"/>
    <w:rsid w:val="002C3ACF"/>
    <w:rsid w:val="002C7A5C"/>
    <w:rsid w:val="00357998"/>
    <w:rsid w:val="003817D7"/>
    <w:rsid w:val="003C0E3C"/>
    <w:rsid w:val="003E3740"/>
    <w:rsid w:val="003E5107"/>
    <w:rsid w:val="003F3563"/>
    <w:rsid w:val="004256B8"/>
    <w:rsid w:val="004429CA"/>
    <w:rsid w:val="00465976"/>
    <w:rsid w:val="00493E6F"/>
    <w:rsid w:val="004E6CBD"/>
    <w:rsid w:val="00513971"/>
    <w:rsid w:val="005201BD"/>
    <w:rsid w:val="005353EE"/>
    <w:rsid w:val="005876F6"/>
    <w:rsid w:val="005B13F1"/>
    <w:rsid w:val="005F5B02"/>
    <w:rsid w:val="00622182"/>
    <w:rsid w:val="0063111F"/>
    <w:rsid w:val="0063340E"/>
    <w:rsid w:val="00667555"/>
    <w:rsid w:val="00690628"/>
    <w:rsid w:val="006A2A11"/>
    <w:rsid w:val="006A4874"/>
    <w:rsid w:val="006C6838"/>
    <w:rsid w:val="007625AA"/>
    <w:rsid w:val="0076747C"/>
    <w:rsid w:val="0078518A"/>
    <w:rsid w:val="00794A42"/>
    <w:rsid w:val="007E4F44"/>
    <w:rsid w:val="008156DF"/>
    <w:rsid w:val="00830FCD"/>
    <w:rsid w:val="0088203F"/>
    <w:rsid w:val="008D1B23"/>
    <w:rsid w:val="00902E14"/>
    <w:rsid w:val="009413CF"/>
    <w:rsid w:val="00971AFC"/>
    <w:rsid w:val="00980EE5"/>
    <w:rsid w:val="00981C35"/>
    <w:rsid w:val="009A4EED"/>
    <w:rsid w:val="00A34923"/>
    <w:rsid w:val="00A6225F"/>
    <w:rsid w:val="00A65924"/>
    <w:rsid w:val="00A81D42"/>
    <w:rsid w:val="00A87749"/>
    <w:rsid w:val="00A93A8B"/>
    <w:rsid w:val="00A94968"/>
    <w:rsid w:val="00AE70E7"/>
    <w:rsid w:val="00B21992"/>
    <w:rsid w:val="00B31E4D"/>
    <w:rsid w:val="00B4539C"/>
    <w:rsid w:val="00B60B22"/>
    <w:rsid w:val="00BD5A1A"/>
    <w:rsid w:val="00BF6266"/>
    <w:rsid w:val="00C14DB1"/>
    <w:rsid w:val="00D16BFD"/>
    <w:rsid w:val="00D22D37"/>
    <w:rsid w:val="00D308A9"/>
    <w:rsid w:val="00D31D82"/>
    <w:rsid w:val="00D47314"/>
    <w:rsid w:val="00D86CEC"/>
    <w:rsid w:val="00D9728A"/>
    <w:rsid w:val="00DA5BE2"/>
    <w:rsid w:val="00E1098A"/>
    <w:rsid w:val="00E41343"/>
    <w:rsid w:val="00EB1ED9"/>
    <w:rsid w:val="00F11F4C"/>
    <w:rsid w:val="00F56A95"/>
    <w:rsid w:val="00F60CFC"/>
    <w:rsid w:val="00F76271"/>
    <w:rsid w:val="00FC42AC"/>
    <w:rsid w:val="00FE2EF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7DED9"/>
  <w15:docId w15:val="{62B89FC6-5A10-4543-B945-C2A47662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4">
    <w:name w:val="heading 4"/>
    <w:basedOn w:val="Normal"/>
    <w:link w:val="Heading4Char"/>
    <w:uiPriority w:val="9"/>
    <w:qFormat/>
    <w:rsid w:val="000E0A4B"/>
    <w:pPr>
      <w:spacing w:before="100" w:beforeAutospacing="1" w:after="100" w:afterAutospacing="1"/>
      <w:outlineLvl w:val="3"/>
    </w:pPr>
    <w:rPr>
      <w:b/>
      <w:bCs/>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styleId="Strong">
    <w:name w:val="Strong"/>
    <w:basedOn w:val="DefaultParagraphFont"/>
    <w:qFormat/>
    <w:rsid w:val="009A4EED"/>
    <w:rPr>
      <w:b/>
      <w:bCs/>
    </w:rPr>
  </w:style>
  <w:style w:type="character" w:styleId="Emphasis">
    <w:name w:val="Emphasis"/>
    <w:basedOn w:val="DefaultParagraphFont"/>
    <w:uiPriority w:val="20"/>
    <w:qFormat/>
    <w:rsid w:val="009A4EED"/>
    <w:rPr>
      <w:i/>
      <w:iCs/>
    </w:rPr>
  </w:style>
  <w:style w:type="character" w:customStyle="1" w:styleId="apple-converted-space">
    <w:name w:val="apple-converted-space"/>
    <w:basedOn w:val="DefaultParagraphFont"/>
    <w:rsid w:val="001C5EA9"/>
  </w:style>
  <w:style w:type="character" w:styleId="CommentReference">
    <w:name w:val="annotation reference"/>
    <w:basedOn w:val="DefaultParagraphFont"/>
    <w:uiPriority w:val="99"/>
    <w:semiHidden/>
    <w:unhideWhenUsed/>
    <w:rsid w:val="00B4539C"/>
    <w:rPr>
      <w:sz w:val="16"/>
      <w:szCs w:val="16"/>
    </w:rPr>
  </w:style>
  <w:style w:type="paragraph" w:styleId="CommentText">
    <w:name w:val="annotation text"/>
    <w:basedOn w:val="Normal"/>
    <w:link w:val="CommentTextChar"/>
    <w:uiPriority w:val="99"/>
    <w:semiHidden/>
    <w:unhideWhenUsed/>
    <w:rsid w:val="00B4539C"/>
    <w:rPr>
      <w:sz w:val="20"/>
      <w:szCs w:val="20"/>
    </w:rPr>
  </w:style>
  <w:style w:type="character" w:customStyle="1" w:styleId="CommentTextChar">
    <w:name w:val="Comment Text Char"/>
    <w:basedOn w:val="DefaultParagraphFont"/>
    <w:link w:val="CommentText"/>
    <w:uiPriority w:val="99"/>
    <w:semiHidden/>
    <w:rsid w:val="00B4539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4539C"/>
    <w:rPr>
      <w:b/>
      <w:bCs/>
    </w:rPr>
  </w:style>
  <w:style w:type="character" w:customStyle="1" w:styleId="CommentSubjectChar">
    <w:name w:val="Comment Subject Char"/>
    <w:basedOn w:val="CommentTextChar"/>
    <w:link w:val="CommentSubject"/>
    <w:uiPriority w:val="99"/>
    <w:semiHidden/>
    <w:rsid w:val="00B4539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453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9C"/>
    <w:rPr>
      <w:rFonts w:ascii="Segoe UI" w:eastAsia="Times New Roman" w:hAnsi="Segoe UI" w:cs="Segoe UI"/>
      <w:sz w:val="18"/>
      <w:szCs w:val="18"/>
      <w:lang w:val="en-US"/>
    </w:rPr>
  </w:style>
  <w:style w:type="paragraph" w:styleId="ListParagraph">
    <w:name w:val="List Paragraph"/>
    <w:basedOn w:val="Normal"/>
    <w:uiPriority w:val="34"/>
    <w:qFormat/>
    <w:rsid w:val="003C0E3C"/>
    <w:pPr>
      <w:ind w:left="720"/>
      <w:contextualSpacing/>
    </w:pPr>
  </w:style>
  <w:style w:type="table" w:styleId="TableGrid">
    <w:name w:val="Table Grid"/>
    <w:basedOn w:val="TableNormal"/>
    <w:uiPriority w:val="59"/>
    <w:rsid w:val="00AE7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6A95"/>
    <w:pPr>
      <w:spacing w:after="0"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0E0A4B"/>
    <w:rPr>
      <w:rFonts w:ascii="Times New Roman" w:eastAsia="Times New Roman" w:hAnsi="Times New Roman" w:cs="Times New Roman"/>
      <w:b/>
      <w:bCs/>
      <w:sz w:val="24"/>
      <w:szCs w:val="24"/>
      <w:lang w:eastAsia="en-ZA"/>
    </w:rPr>
  </w:style>
  <w:style w:type="character" w:styleId="FollowedHyperlink">
    <w:name w:val="FollowedHyperlink"/>
    <w:basedOn w:val="DefaultParagraphFont"/>
    <w:uiPriority w:val="99"/>
    <w:semiHidden/>
    <w:unhideWhenUsed/>
    <w:rsid w:val="003817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892936">
      <w:bodyDiv w:val="1"/>
      <w:marLeft w:val="0"/>
      <w:marRight w:val="0"/>
      <w:marTop w:val="0"/>
      <w:marBottom w:val="0"/>
      <w:divBdr>
        <w:top w:val="none" w:sz="0" w:space="0" w:color="auto"/>
        <w:left w:val="none" w:sz="0" w:space="0" w:color="auto"/>
        <w:bottom w:val="none" w:sz="0" w:space="0" w:color="auto"/>
        <w:right w:val="none" w:sz="0" w:space="0" w:color="auto"/>
      </w:divBdr>
    </w:div>
    <w:div w:id="589775633">
      <w:bodyDiv w:val="1"/>
      <w:marLeft w:val="0"/>
      <w:marRight w:val="0"/>
      <w:marTop w:val="0"/>
      <w:marBottom w:val="0"/>
      <w:divBdr>
        <w:top w:val="none" w:sz="0" w:space="0" w:color="auto"/>
        <w:left w:val="none" w:sz="0" w:space="0" w:color="auto"/>
        <w:bottom w:val="none" w:sz="0" w:space="0" w:color="auto"/>
        <w:right w:val="none" w:sz="0" w:space="0" w:color="auto"/>
      </w:divBdr>
    </w:div>
    <w:div w:id="608660255">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00208118">
      <w:bodyDiv w:val="1"/>
      <w:marLeft w:val="0"/>
      <w:marRight w:val="0"/>
      <w:marTop w:val="600"/>
      <w:marBottom w:val="600"/>
      <w:divBdr>
        <w:top w:val="none" w:sz="0" w:space="0" w:color="auto"/>
        <w:left w:val="none" w:sz="0" w:space="0" w:color="auto"/>
        <w:bottom w:val="none" w:sz="0" w:space="0" w:color="auto"/>
        <w:right w:val="none" w:sz="0" w:space="0" w:color="auto"/>
      </w:divBdr>
      <w:divsChild>
        <w:div w:id="2031029101">
          <w:marLeft w:val="0"/>
          <w:marRight w:val="0"/>
          <w:marTop w:val="0"/>
          <w:marBottom w:val="0"/>
          <w:divBdr>
            <w:top w:val="none" w:sz="0" w:space="0" w:color="auto"/>
            <w:left w:val="none" w:sz="0" w:space="0" w:color="auto"/>
            <w:bottom w:val="none" w:sz="0" w:space="0" w:color="auto"/>
            <w:right w:val="none" w:sz="0" w:space="0" w:color="auto"/>
          </w:divBdr>
          <w:divsChild>
            <w:div w:id="2025740534">
              <w:marLeft w:val="0"/>
              <w:marRight w:val="0"/>
              <w:marTop w:val="0"/>
              <w:marBottom w:val="0"/>
              <w:divBdr>
                <w:top w:val="none" w:sz="0" w:space="0" w:color="auto"/>
                <w:left w:val="none" w:sz="0" w:space="0" w:color="auto"/>
                <w:bottom w:val="none" w:sz="0" w:space="0" w:color="auto"/>
                <w:right w:val="none" w:sz="0" w:space="0" w:color="auto"/>
              </w:divBdr>
              <w:divsChild>
                <w:div w:id="602686292">
                  <w:marLeft w:val="0"/>
                  <w:marRight w:val="0"/>
                  <w:marTop w:val="0"/>
                  <w:marBottom w:val="0"/>
                  <w:divBdr>
                    <w:top w:val="none" w:sz="0" w:space="0" w:color="auto"/>
                    <w:left w:val="none" w:sz="0" w:space="0" w:color="auto"/>
                    <w:bottom w:val="none" w:sz="0" w:space="0" w:color="auto"/>
                    <w:right w:val="none" w:sz="0" w:space="0" w:color="auto"/>
                  </w:divBdr>
                  <w:divsChild>
                    <w:div w:id="137694190">
                      <w:marLeft w:val="0"/>
                      <w:marRight w:val="0"/>
                      <w:marTop w:val="0"/>
                      <w:marBottom w:val="0"/>
                      <w:divBdr>
                        <w:top w:val="none" w:sz="0" w:space="0" w:color="auto"/>
                        <w:left w:val="none" w:sz="0" w:space="0" w:color="auto"/>
                        <w:bottom w:val="none" w:sz="0" w:space="0" w:color="auto"/>
                        <w:right w:val="none" w:sz="0" w:space="0" w:color="auto"/>
                      </w:divBdr>
                      <w:divsChild>
                        <w:div w:id="284771183">
                          <w:marLeft w:val="0"/>
                          <w:marRight w:val="0"/>
                          <w:marTop w:val="0"/>
                          <w:marBottom w:val="0"/>
                          <w:divBdr>
                            <w:top w:val="none" w:sz="0" w:space="0" w:color="auto"/>
                            <w:left w:val="none" w:sz="0" w:space="0" w:color="auto"/>
                            <w:bottom w:val="none" w:sz="0" w:space="0" w:color="auto"/>
                            <w:right w:val="none" w:sz="0" w:space="0" w:color="auto"/>
                          </w:divBdr>
                          <w:divsChild>
                            <w:div w:id="598610332">
                              <w:marLeft w:val="-225"/>
                              <w:marRight w:val="-225"/>
                              <w:marTop w:val="0"/>
                              <w:marBottom w:val="0"/>
                              <w:divBdr>
                                <w:top w:val="none" w:sz="0" w:space="0" w:color="auto"/>
                                <w:left w:val="none" w:sz="0" w:space="0" w:color="auto"/>
                                <w:bottom w:val="none" w:sz="0" w:space="0" w:color="auto"/>
                                <w:right w:val="none" w:sz="0" w:space="0" w:color="auto"/>
                              </w:divBdr>
                              <w:divsChild>
                                <w:div w:id="1431198914">
                                  <w:marLeft w:val="0"/>
                                  <w:marRight w:val="0"/>
                                  <w:marTop w:val="0"/>
                                  <w:marBottom w:val="0"/>
                                  <w:divBdr>
                                    <w:top w:val="none" w:sz="0" w:space="0" w:color="auto"/>
                                    <w:left w:val="none" w:sz="0" w:space="0" w:color="auto"/>
                                    <w:bottom w:val="none" w:sz="0" w:space="0" w:color="auto"/>
                                    <w:right w:val="none" w:sz="0" w:space="0" w:color="auto"/>
                                  </w:divBdr>
                                  <w:divsChild>
                                    <w:div w:id="564075174">
                                      <w:marLeft w:val="0"/>
                                      <w:marRight w:val="0"/>
                                      <w:marTop w:val="0"/>
                                      <w:marBottom w:val="0"/>
                                      <w:divBdr>
                                        <w:top w:val="none" w:sz="0" w:space="0" w:color="auto"/>
                                        <w:left w:val="none" w:sz="0" w:space="0" w:color="auto"/>
                                        <w:bottom w:val="none" w:sz="0" w:space="0" w:color="auto"/>
                                        <w:right w:val="none" w:sz="0" w:space="0" w:color="auto"/>
                                      </w:divBdr>
                                      <w:divsChild>
                                        <w:div w:id="6127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 w:id="182053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ac.org/publications-resources/exploring-growing-use-technology-audit-focus-data-analytics?utm_source=IFAC+Main+List&amp;utm_campaign=6517f54a77-IAASB_ED_Press_Release_9_1_169_1_2016&amp;utm_medium=email&amp;utm_term=0_cc08d67019-6517f54a77-80283193" TargetMode="External"/><Relationship Id="rId3" Type="http://schemas.openxmlformats.org/officeDocument/2006/relationships/styles" Target="styles.xml"/><Relationship Id="rId7" Type="http://schemas.openxmlformats.org/officeDocument/2006/relationships/hyperlink" Target="mailto:standards@irba.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fac.org/publications-resources/exploring-growing-use-technology-audit-focus-data-analytics?utm_source=IFAC+Main+List&amp;utm_campaign=6517f54a77-IAASB_ED_Press_Release_9_1_169_1_2016&amp;utm_medium=email&amp;utm_term=0_cc08d67019-6517f54a77-8028319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aasb.org/projects/data-analytics?utm_source=IFAC+Main+List&amp;utm_campaign=6517f54a77-IAASB_ED_Press_Release_9_1_169_1_2016&amp;utm_medium=email&amp;utm_term=0_cc08d67019-6517f54a77-80283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90072-8467-4DD5-BF94-8124896C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Henriette Fortuin</dc:creator>
  <cp:lastModifiedBy>Henriette Fortuin</cp:lastModifiedBy>
  <cp:revision>3</cp:revision>
  <cp:lastPrinted>2016-09-14T11:56:00Z</cp:lastPrinted>
  <dcterms:created xsi:type="dcterms:W3CDTF">2016-09-28T18:13:00Z</dcterms:created>
  <dcterms:modified xsi:type="dcterms:W3CDTF">2016-09-28T19:55:00Z</dcterms:modified>
</cp:coreProperties>
</file>