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26"/>
      </w:tblGrid>
      <w:tr w:rsidR="000624E1" w:rsidTr="000624E1">
        <w:tc>
          <w:tcPr>
            <w:tcW w:w="9242" w:type="dxa"/>
            <w:tcBorders>
              <w:left w:val="nil"/>
              <w:right w:val="nil"/>
            </w:tcBorders>
          </w:tcPr>
          <w:p w:rsidR="000624E1" w:rsidRDefault="000624E1" w:rsidP="000624E1">
            <w:pPr>
              <w:jc w:val="center"/>
            </w:pPr>
            <w:r w:rsidRPr="00F76271">
              <w:rPr>
                <w:b/>
                <w:bCs/>
                <w:color w:val="CC0000"/>
              </w:rPr>
              <w:t>INDEPENDENT REGULATORY BOARD FOR AUDITORS</w:t>
            </w:r>
          </w:p>
        </w:tc>
      </w:tr>
    </w:tbl>
    <w:p w:rsidR="00D53342" w:rsidRDefault="00D53342"/>
    <w:tbl>
      <w:tblPr>
        <w:tblStyle w:val="TableGrid"/>
        <w:tblW w:w="0" w:type="auto"/>
        <w:tblLook w:val="04A0" w:firstRow="1" w:lastRow="0" w:firstColumn="1" w:lastColumn="0" w:noHBand="0" w:noVBand="1"/>
      </w:tblPr>
      <w:tblGrid>
        <w:gridCol w:w="9026"/>
      </w:tblGrid>
      <w:tr w:rsidR="000624E1" w:rsidTr="000624E1">
        <w:tc>
          <w:tcPr>
            <w:tcW w:w="9242" w:type="dxa"/>
            <w:tcBorders>
              <w:top w:val="nil"/>
              <w:left w:val="nil"/>
              <w:bottom w:val="nil"/>
              <w:right w:val="nil"/>
            </w:tcBorders>
          </w:tcPr>
          <w:p w:rsidR="000624E1" w:rsidRPr="002D70C4" w:rsidRDefault="000624E1" w:rsidP="000624E1">
            <w:pPr>
              <w:spacing w:line="360" w:lineRule="auto"/>
              <w:jc w:val="center"/>
              <w:rPr>
                <w:b/>
                <w:sz w:val="20"/>
                <w:szCs w:val="20"/>
              </w:rPr>
            </w:pPr>
            <w:r>
              <w:rPr>
                <w:b/>
                <w:sz w:val="20"/>
                <w:szCs w:val="20"/>
              </w:rPr>
              <w:t>The IRBA issues consultation paper on Mandatory Audit Firm Rotation</w:t>
            </w:r>
          </w:p>
          <w:p w:rsidR="000624E1" w:rsidRDefault="000624E1" w:rsidP="000624E1">
            <w:pPr>
              <w:spacing w:before="120" w:after="120"/>
              <w:jc w:val="center"/>
            </w:pPr>
          </w:p>
          <w:p w:rsidR="000624E1" w:rsidRDefault="000624E1" w:rsidP="000624E1">
            <w:pPr>
              <w:spacing w:before="120" w:after="120"/>
              <w:jc w:val="center"/>
            </w:pPr>
            <w:r>
              <w:t>Johannesburg / 26 October</w:t>
            </w:r>
          </w:p>
          <w:p w:rsidR="000624E1" w:rsidRDefault="000624E1" w:rsidP="000624E1">
            <w:pPr>
              <w:autoSpaceDE w:val="0"/>
              <w:autoSpaceDN w:val="0"/>
              <w:adjustRightInd w:val="0"/>
              <w:jc w:val="both"/>
            </w:pPr>
          </w:p>
          <w:p w:rsidR="000624E1" w:rsidRDefault="000624E1" w:rsidP="000624E1">
            <w:pPr>
              <w:jc w:val="both"/>
              <w:rPr>
                <w:color w:val="000000"/>
              </w:rPr>
            </w:pPr>
          </w:p>
          <w:p w:rsidR="000624E1" w:rsidRDefault="000624E1" w:rsidP="000624E1">
            <w:pPr>
              <w:jc w:val="both"/>
              <w:rPr>
                <w:color w:val="000000"/>
              </w:rPr>
            </w:pPr>
          </w:p>
          <w:p w:rsidR="000624E1" w:rsidRDefault="009122AB" w:rsidP="000624E1">
            <w:pPr>
              <w:spacing w:line="276" w:lineRule="auto"/>
              <w:jc w:val="both"/>
              <w:rPr>
                <w:color w:val="000000"/>
              </w:rPr>
            </w:pPr>
            <w:r>
              <w:rPr>
                <w:color w:val="000000"/>
              </w:rPr>
              <w:t>Dear Registered Auditor</w:t>
            </w:r>
          </w:p>
          <w:p w:rsidR="000624E1" w:rsidRDefault="000624E1" w:rsidP="000624E1">
            <w:pPr>
              <w:spacing w:line="276" w:lineRule="auto"/>
              <w:jc w:val="both"/>
              <w:rPr>
                <w:color w:val="000000"/>
              </w:rPr>
            </w:pPr>
          </w:p>
          <w:p w:rsidR="000624E1" w:rsidRPr="003134D5" w:rsidRDefault="000624E1" w:rsidP="000624E1">
            <w:pPr>
              <w:spacing w:line="276" w:lineRule="auto"/>
              <w:jc w:val="center"/>
              <w:rPr>
                <w:sz w:val="20"/>
                <w:szCs w:val="20"/>
              </w:rPr>
            </w:pPr>
          </w:p>
          <w:p w:rsidR="000624E1" w:rsidRDefault="000624E1" w:rsidP="000624E1">
            <w:pPr>
              <w:spacing w:line="276" w:lineRule="auto"/>
              <w:jc w:val="both"/>
              <w:rPr>
                <w:sz w:val="20"/>
                <w:szCs w:val="20"/>
              </w:rPr>
            </w:pPr>
            <w:r>
              <w:rPr>
                <w:sz w:val="20"/>
                <w:szCs w:val="20"/>
              </w:rPr>
              <w:t xml:space="preserve">In August this year, we announced the </w:t>
            </w:r>
            <w:proofErr w:type="spellStart"/>
            <w:r>
              <w:rPr>
                <w:sz w:val="20"/>
                <w:szCs w:val="20"/>
              </w:rPr>
              <w:t>Boardʹs</w:t>
            </w:r>
            <w:proofErr w:type="spellEnd"/>
            <w:r>
              <w:rPr>
                <w:sz w:val="20"/>
                <w:szCs w:val="20"/>
              </w:rPr>
              <w:t xml:space="preserve"> decision to implement mandatory audit firm rotation, in line with other jurisdictions worldwide, to strengthen auditor independence and enhance audit quality.  </w:t>
            </w:r>
          </w:p>
          <w:p w:rsidR="000624E1" w:rsidRDefault="000624E1" w:rsidP="000624E1">
            <w:pPr>
              <w:spacing w:line="276" w:lineRule="auto"/>
              <w:jc w:val="both"/>
              <w:rPr>
                <w:sz w:val="20"/>
                <w:szCs w:val="20"/>
              </w:rPr>
            </w:pPr>
          </w:p>
          <w:p w:rsidR="000624E1" w:rsidRDefault="000624E1" w:rsidP="000624E1">
            <w:pPr>
              <w:spacing w:line="276" w:lineRule="auto"/>
              <w:jc w:val="both"/>
              <w:rPr>
                <w:sz w:val="20"/>
                <w:szCs w:val="20"/>
              </w:rPr>
            </w:pPr>
            <w:r>
              <w:rPr>
                <w:sz w:val="20"/>
                <w:szCs w:val="20"/>
              </w:rPr>
              <w:t>The consultation process on the implementation of Mandatory Audit Firm Rotation (MAFR) has now opened with the release of the consultation paper on Tuesday October 25.  The consultation process will run until 20 January, 2017.</w:t>
            </w:r>
          </w:p>
          <w:p w:rsidR="000624E1" w:rsidRDefault="000624E1" w:rsidP="000624E1">
            <w:pPr>
              <w:spacing w:line="276" w:lineRule="auto"/>
              <w:jc w:val="both"/>
              <w:rPr>
                <w:sz w:val="20"/>
                <w:szCs w:val="20"/>
              </w:rPr>
            </w:pPr>
          </w:p>
          <w:p w:rsidR="000624E1" w:rsidRDefault="000624E1" w:rsidP="000624E1">
            <w:pPr>
              <w:spacing w:line="276" w:lineRule="auto"/>
              <w:jc w:val="both"/>
              <w:rPr>
                <w:sz w:val="20"/>
                <w:szCs w:val="20"/>
              </w:rPr>
            </w:pPr>
            <w:r>
              <w:rPr>
                <w:sz w:val="20"/>
                <w:szCs w:val="20"/>
              </w:rPr>
              <w:t xml:space="preserve">In terms of the paper, we have outlined that MAFR is to occur every ten years for listed companies with a cooling off period of five years before being eligible for reappointment.  There are transitional arrangements for companies with joint audits. </w:t>
            </w:r>
          </w:p>
          <w:p w:rsidR="000624E1" w:rsidRDefault="000624E1" w:rsidP="000624E1">
            <w:pPr>
              <w:spacing w:line="276" w:lineRule="auto"/>
              <w:jc w:val="both"/>
              <w:rPr>
                <w:sz w:val="20"/>
                <w:szCs w:val="20"/>
              </w:rPr>
            </w:pPr>
          </w:p>
          <w:p w:rsidR="000624E1" w:rsidRDefault="000624E1" w:rsidP="000624E1">
            <w:pPr>
              <w:spacing w:line="276" w:lineRule="auto"/>
              <w:jc w:val="both"/>
              <w:rPr>
                <w:sz w:val="20"/>
                <w:szCs w:val="20"/>
              </w:rPr>
            </w:pPr>
            <w:r>
              <w:rPr>
                <w:sz w:val="20"/>
                <w:szCs w:val="20"/>
              </w:rPr>
              <w:t>The requirement is effective for financial years commencing on or after 1 April 2023</w:t>
            </w:r>
            <w:r w:rsidR="007B7819">
              <w:rPr>
                <w:sz w:val="20"/>
                <w:szCs w:val="20"/>
              </w:rPr>
              <w:t>.</w:t>
            </w:r>
          </w:p>
          <w:p w:rsidR="000624E1" w:rsidRDefault="000624E1" w:rsidP="000624E1">
            <w:pPr>
              <w:spacing w:line="276" w:lineRule="auto"/>
              <w:jc w:val="both"/>
              <w:rPr>
                <w:sz w:val="20"/>
                <w:szCs w:val="20"/>
              </w:rPr>
            </w:pPr>
          </w:p>
          <w:p w:rsidR="000624E1" w:rsidRDefault="000624E1" w:rsidP="000624E1">
            <w:pPr>
              <w:spacing w:line="276" w:lineRule="auto"/>
              <w:jc w:val="both"/>
              <w:rPr>
                <w:sz w:val="20"/>
                <w:szCs w:val="20"/>
              </w:rPr>
            </w:pPr>
            <w:r>
              <w:rPr>
                <w:sz w:val="20"/>
                <w:szCs w:val="20"/>
              </w:rPr>
              <w:t xml:space="preserve">This requirement does not replace other prohibitions to strengthen independence outlined in the IRBA Code of Professional Conduct.  </w:t>
            </w:r>
          </w:p>
          <w:p w:rsidR="000624E1" w:rsidRDefault="000624E1" w:rsidP="000624E1">
            <w:pPr>
              <w:spacing w:line="276" w:lineRule="auto"/>
              <w:jc w:val="both"/>
              <w:rPr>
                <w:sz w:val="20"/>
                <w:szCs w:val="20"/>
              </w:rPr>
            </w:pPr>
            <w:bookmarkStart w:id="0" w:name="_GoBack"/>
            <w:bookmarkEnd w:id="0"/>
          </w:p>
          <w:p w:rsidR="000624E1" w:rsidRDefault="000624E1" w:rsidP="000624E1">
            <w:pPr>
              <w:spacing w:line="276" w:lineRule="auto"/>
              <w:jc w:val="both"/>
              <w:rPr>
                <w:sz w:val="20"/>
                <w:szCs w:val="20"/>
              </w:rPr>
            </w:pPr>
            <w:r>
              <w:rPr>
                <w:sz w:val="20"/>
                <w:szCs w:val="20"/>
              </w:rPr>
              <w:t xml:space="preserve">The consultation paper can be downloaded </w:t>
            </w:r>
            <w:hyperlink r:id="rId4" w:history="1">
              <w:r w:rsidRPr="000624E1">
                <w:rPr>
                  <w:rStyle w:val="Hyperlink"/>
                  <w:b/>
                  <w:sz w:val="20"/>
                  <w:szCs w:val="20"/>
                </w:rPr>
                <w:t>here</w:t>
              </w:r>
            </w:hyperlink>
            <w:r>
              <w:rPr>
                <w:sz w:val="20"/>
                <w:szCs w:val="20"/>
              </w:rPr>
              <w:t xml:space="preserve">. </w:t>
            </w:r>
          </w:p>
          <w:p w:rsidR="000624E1" w:rsidRDefault="000624E1" w:rsidP="000624E1">
            <w:pPr>
              <w:spacing w:line="276" w:lineRule="auto"/>
              <w:jc w:val="both"/>
              <w:rPr>
                <w:sz w:val="20"/>
                <w:szCs w:val="20"/>
              </w:rPr>
            </w:pPr>
          </w:p>
          <w:p w:rsidR="000624E1" w:rsidRDefault="000624E1" w:rsidP="000624E1">
            <w:pPr>
              <w:spacing w:line="276" w:lineRule="auto"/>
              <w:jc w:val="both"/>
              <w:rPr>
                <w:color w:val="000000"/>
              </w:rPr>
            </w:pPr>
            <w:r>
              <w:rPr>
                <w:sz w:val="20"/>
                <w:szCs w:val="20"/>
              </w:rPr>
              <w:t xml:space="preserve">Feedback is required by </w:t>
            </w:r>
            <w:r w:rsidRPr="00437AC0">
              <w:rPr>
                <w:b/>
                <w:sz w:val="20"/>
                <w:szCs w:val="20"/>
              </w:rPr>
              <w:t>20 January 2017</w:t>
            </w:r>
            <w:r>
              <w:rPr>
                <w:sz w:val="20"/>
                <w:szCs w:val="20"/>
              </w:rPr>
              <w:t>.</w:t>
            </w:r>
          </w:p>
          <w:p w:rsidR="000624E1" w:rsidRPr="00B33992" w:rsidRDefault="000624E1" w:rsidP="000624E1">
            <w:pPr>
              <w:spacing w:line="276" w:lineRule="auto"/>
              <w:jc w:val="both"/>
              <w:rPr>
                <w:color w:val="000000"/>
              </w:rPr>
            </w:pPr>
            <w:r w:rsidRPr="00B33992">
              <w:rPr>
                <w:color w:val="000000"/>
              </w:rPr>
              <w:t xml:space="preserve"> </w:t>
            </w:r>
          </w:p>
          <w:p w:rsidR="000624E1" w:rsidRDefault="000624E1" w:rsidP="000624E1">
            <w:pPr>
              <w:spacing w:line="276" w:lineRule="auto"/>
              <w:jc w:val="both"/>
              <w:rPr>
                <w:color w:val="000000"/>
              </w:rPr>
            </w:pPr>
          </w:p>
          <w:p w:rsidR="000624E1" w:rsidRPr="00ED5503" w:rsidRDefault="000624E1" w:rsidP="000624E1">
            <w:pPr>
              <w:pStyle w:val="NormalWeb"/>
              <w:spacing w:before="0" w:beforeAutospacing="0" w:after="120" w:afterAutospacing="0" w:line="276" w:lineRule="auto"/>
              <w:jc w:val="both"/>
              <w:rPr>
                <w:rFonts w:ascii="Arial" w:hAnsi="Arial" w:cs="Arial"/>
                <w:sz w:val="22"/>
                <w:szCs w:val="22"/>
              </w:rPr>
            </w:pPr>
          </w:p>
          <w:p w:rsidR="000624E1" w:rsidRDefault="000624E1" w:rsidP="000624E1">
            <w:pPr>
              <w:spacing w:line="276" w:lineRule="auto"/>
              <w:jc w:val="both"/>
              <w:rPr>
                <w:b/>
              </w:rPr>
            </w:pPr>
            <w:r>
              <w:rPr>
                <w:b/>
              </w:rPr>
              <w:t>Bernard Peter Agulhas</w:t>
            </w:r>
          </w:p>
          <w:p w:rsidR="000624E1" w:rsidRDefault="000624E1" w:rsidP="000624E1">
            <w:pPr>
              <w:spacing w:line="276" w:lineRule="auto"/>
              <w:jc w:val="both"/>
              <w:rPr>
                <w:b/>
              </w:rPr>
            </w:pPr>
            <w:r>
              <w:rPr>
                <w:b/>
              </w:rPr>
              <w:t>Chief Executive Officer</w:t>
            </w:r>
          </w:p>
          <w:p w:rsidR="000624E1" w:rsidRPr="00F76271" w:rsidRDefault="000624E1" w:rsidP="000624E1">
            <w:pPr>
              <w:spacing w:after="120" w:line="276" w:lineRule="auto"/>
              <w:jc w:val="both"/>
              <w:rPr>
                <w:b/>
                <w:i/>
                <w:noProof/>
                <w:sz w:val="20"/>
                <w:szCs w:val="20"/>
              </w:rPr>
            </w:pPr>
          </w:p>
          <w:p w:rsidR="000624E1" w:rsidRPr="003F3563" w:rsidRDefault="000624E1" w:rsidP="000624E1">
            <w:pPr>
              <w:spacing w:after="120" w:line="276" w:lineRule="auto"/>
              <w:jc w:val="both"/>
              <w:rPr>
                <w:b/>
                <w:i/>
                <w:noProof/>
                <w:sz w:val="20"/>
                <w:szCs w:val="20"/>
              </w:rPr>
            </w:pPr>
            <w:r w:rsidRPr="003F3563">
              <w:rPr>
                <w:b/>
                <w:i/>
                <w:noProof/>
                <w:sz w:val="20"/>
                <w:szCs w:val="20"/>
              </w:rPr>
              <w:t>About the IRBA</w:t>
            </w:r>
          </w:p>
          <w:p w:rsidR="000624E1" w:rsidRPr="000624E1" w:rsidRDefault="000624E1" w:rsidP="000624E1">
            <w:pPr>
              <w:spacing w:after="120" w:line="276" w:lineRule="auto"/>
              <w:jc w:val="both"/>
              <w:rPr>
                <w:sz w:val="20"/>
                <w:szCs w:val="20"/>
              </w:rPr>
            </w:pPr>
            <w:r w:rsidRPr="003F3563">
              <w:rPr>
                <w:i/>
                <w:iCs/>
                <w:sz w:val="20"/>
                <w:szCs w:val="20"/>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0624E1" w:rsidRDefault="000624E1"/>
    <w:sectPr w:rsidR="00062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E1"/>
    <w:rsid w:val="000624E1"/>
    <w:rsid w:val="007B7819"/>
    <w:rsid w:val="009122AB"/>
    <w:rsid w:val="00D533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E0325-9493-4635-BB4E-727CFC88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24E1"/>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062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ba.co.za/guidelines-to-comment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Fourie</dc:creator>
  <cp:keywords/>
  <dc:description/>
  <cp:lastModifiedBy>Henriette Fortuin</cp:lastModifiedBy>
  <cp:revision>3</cp:revision>
  <dcterms:created xsi:type="dcterms:W3CDTF">2016-10-26T07:41:00Z</dcterms:created>
  <dcterms:modified xsi:type="dcterms:W3CDTF">2016-10-26T09:12:00Z</dcterms:modified>
</cp:coreProperties>
</file>