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026"/>
      </w:tblGrid>
      <w:tr w:rsidR="004402D3" w:rsidTr="004402D3">
        <w:tc>
          <w:tcPr>
            <w:tcW w:w="9242" w:type="dxa"/>
            <w:tcBorders>
              <w:top w:val="single" w:sz="4" w:space="0" w:color="auto"/>
              <w:left w:val="nil"/>
              <w:bottom w:val="single" w:sz="4" w:space="0" w:color="auto"/>
              <w:right w:val="nil"/>
            </w:tcBorders>
          </w:tcPr>
          <w:p w:rsidR="004402D3" w:rsidRDefault="004402D3" w:rsidP="004402D3">
            <w:pPr>
              <w:spacing w:before="120" w:after="120" w:line="312" w:lineRule="atLeast"/>
              <w:jc w:val="center"/>
              <w:rPr>
                <w:rFonts w:ascii="Arial" w:hAnsi="Arial" w:cs="Arial"/>
                <w:b/>
                <w:bCs/>
                <w:color w:val="CC0000"/>
                <w:lang w:val="en-GB"/>
              </w:rPr>
            </w:pPr>
            <w:r w:rsidRPr="0096139B">
              <w:rPr>
                <w:rFonts w:ascii="Arial" w:hAnsi="Arial" w:cs="Arial"/>
                <w:b/>
                <w:bCs/>
                <w:color w:val="CC0000"/>
                <w:lang w:val="en-GB"/>
              </w:rPr>
              <w:t>INDEPENDENT REGULATORY BOARD FOR AUDITORS</w:t>
            </w:r>
          </w:p>
          <w:p w:rsidR="004402D3" w:rsidRPr="004402D3" w:rsidRDefault="004402D3" w:rsidP="004402D3">
            <w:pPr>
              <w:spacing w:before="120" w:after="120" w:line="312" w:lineRule="atLeast"/>
              <w:jc w:val="center"/>
              <w:rPr>
                <w:rFonts w:ascii="Arial" w:hAnsi="Arial" w:cs="Arial"/>
                <w:b/>
                <w:bCs/>
                <w:lang w:val="en-GB"/>
              </w:rPr>
            </w:pPr>
            <w:r w:rsidRPr="009058BC">
              <w:rPr>
                <w:rFonts w:ascii="Arial" w:hAnsi="Arial" w:cs="Arial"/>
                <w:b/>
                <w:bCs/>
                <w:lang w:val="en-GB"/>
              </w:rPr>
              <w:t>COMMITTEE FOR AUDIT</w:t>
            </w:r>
            <w:bookmarkStart w:id="0" w:name="Text2"/>
            <w:bookmarkEnd w:id="0"/>
            <w:r>
              <w:rPr>
                <w:rFonts w:ascii="Arial" w:hAnsi="Arial" w:cs="Arial"/>
                <w:b/>
                <w:bCs/>
                <w:lang w:val="en-GB"/>
              </w:rPr>
              <w:t>OR ETHICS</w:t>
            </w:r>
          </w:p>
        </w:tc>
      </w:tr>
    </w:tbl>
    <w:p w:rsidR="00861037" w:rsidRDefault="00861037"/>
    <w:tbl>
      <w:tblPr>
        <w:tblStyle w:val="TableGrid"/>
        <w:tblW w:w="0" w:type="auto"/>
        <w:tblLook w:val="04A0" w:firstRow="1" w:lastRow="0" w:firstColumn="1" w:lastColumn="0" w:noHBand="0" w:noVBand="1"/>
      </w:tblPr>
      <w:tblGrid>
        <w:gridCol w:w="9026"/>
      </w:tblGrid>
      <w:tr w:rsidR="004402D3" w:rsidTr="004402D3">
        <w:tc>
          <w:tcPr>
            <w:tcW w:w="9242" w:type="dxa"/>
            <w:tcBorders>
              <w:top w:val="nil"/>
              <w:left w:val="nil"/>
              <w:bottom w:val="nil"/>
              <w:right w:val="nil"/>
            </w:tcBorders>
          </w:tcPr>
          <w:p w:rsidR="004402D3" w:rsidRPr="00AA1329" w:rsidRDefault="004402D3" w:rsidP="004402D3">
            <w:pPr>
              <w:spacing w:after="120"/>
              <w:jc w:val="center"/>
              <w:rPr>
                <w:rFonts w:ascii="Arial" w:hAnsi="Arial" w:cs="Arial"/>
                <w:b/>
                <w:bCs/>
                <w:color w:val="000000"/>
                <w:sz w:val="22"/>
                <w:szCs w:val="22"/>
              </w:rPr>
            </w:pPr>
            <w:r w:rsidRPr="009058BC">
              <w:rPr>
                <w:rFonts w:ascii="Arial" w:hAnsi="Arial" w:cs="Arial"/>
                <w:b/>
                <w:color w:val="000000"/>
                <w:sz w:val="22"/>
                <w:szCs w:val="22"/>
              </w:rPr>
              <w:t>Frequently Asked</w:t>
            </w:r>
            <w:r w:rsidRPr="009058BC">
              <w:rPr>
                <w:rFonts w:ascii="Arial" w:hAnsi="Arial" w:cs="Arial"/>
                <w:b/>
                <w:bCs/>
                <w:color w:val="000000"/>
                <w:sz w:val="22"/>
                <w:szCs w:val="22"/>
              </w:rPr>
              <w:t xml:space="preserve"> Questions on </w:t>
            </w:r>
            <w:r>
              <w:rPr>
                <w:rFonts w:ascii="Arial" w:hAnsi="Arial" w:cs="Arial"/>
                <w:b/>
                <w:sz w:val="22"/>
                <w:szCs w:val="22"/>
              </w:rPr>
              <w:t>Public Interest Entities in the IRBA Code of Professional Conduct</w:t>
            </w:r>
          </w:p>
          <w:p w:rsidR="004402D3" w:rsidRDefault="004402D3" w:rsidP="004402D3">
            <w:pPr>
              <w:spacing w:after="120"/>
              <w:jc w:val="center"/>
              <w:rPr>
                <w:rFonts w:ascii="Arial" w:hAnsi="Arial" w:cs="Arial"/>
                <w:color w:val="000000"/>
                <w:sz w:val="22"/>
                <w:szCs w:val="22"/>
                <w:lang w:val="en-GB"/>
              </w:rPr>
            </w:pPr>
            <w:r w:rsidRPr="009058BC">
              <w:rPr>
                <w:rFonts w:ascii="Arial" w:hAnsi="Arial" w:cs="Arial"/>
                <w:color w:val="000000"/>
                <w:sz w:val="22"/>
                <w:szCs w:val="22"/>
                <w:lang w:val="en-GB"/>
              </w:rPr>
              <w:t xml:space="preserve">Johannesburg / </w:t>
            </w:r>
            <w:r>
              <w:rPr>
                <w:rFonts w:ascii="Arial" w:hAnsi="Arial" w:cs="Arial"/>
                <w:color w:val="000000"/>
                <w:sz w:val="22"/>
                <w:szCs w:val="22"/>
                <w:lang w:val="en-GB"/>
              </w:rPr>
              <w:t>13 December 2016</w:t>
            </w:r>
          </w:p>
          <w:p w:rsidR="004402D3" w:rsidRPr="009058BC" w:rsidRDefault="004402D3" w:rsidP="004402D3">
            <w:pPr>
              <w:spacing w:after="120"/>
              <w:jc w:val="center"/>
              <w:rPr>
                <w:rFonts w:ascii="Arial" w:hAnsi="Arial" w:cs="Arial"/>
                <w:color w:val="000000"/>
                <w:sz w:val="22"/>
                <w:szCs w:val="22"/>
                <w:lang w:val="en-GB"/>
              </w:rPr>
            </w:pPr>
          </w:p>
          <w:p w:rsidR="004402D3" w:rsidRDefault="004402D3" w:rsidP="004402D3">
            <w:pPr>
              <w:spacing w:after="120"/>
              <w:jc w:val="both"/>
              <w:rPr>
                <w:rFonts w:ascii="Arial" w:hAnsi="Arial" w:cs="Arial"/>
                <w:sz w:val="22"/>
                <w:szCs w:val="22"/>
              </w:rPr>
            </w:pPr>
            <w:r>
              <w:rPr>
                <w:rFonts w:ascii="Arial" w:hAnsi="Arial" w:cs="Arial"/>
                <w:sz w:val="22"/>
                <w:szCs w:val="22"/>
              </w:rPr>
              <w:t>We refer</w:t>
            </w:r>
            <w:r w:rsidRPr="00E14E14">
              <w:rPr>
                <w:rFonts w:ascii="Arial" w:hAnsi="Arial" w:cs="Arial"/>
                <w:sz w:val="22"/>
                <w:szCs w:val="22"/>
              </w:rPr>
              <w:t xml:space="preserve"> to the IRBA </w:t>
            </w:r>
            <w:r>
              <w:rPr>
                <w:rFonts w:ascii="Arial" w:hAnsi="Arial" w:cs="Arial"/>
                <w:sz w:val="22"/>
                <w:szCs w:val="22"/>
              </w:rPr>
              <w:t>Communique</w:t>
            </w:r>
            <w:r w:rsidRPr="00E14E14">
              <w:rPr>
                <w:rFonts w:ascii="Arial" w:hAnsi="Arial" w:cs="Arial"/>
                <w:sz w:val="22"/>
                <w:szCs w:val="22"/>
              </w:rPr>
              <w:t xml:space="preserve"> dated 4 March 2016</w:t>
            </w:r>
            <w:r>
              <w:rPr>
                <w:rFonts w:ascii="Arial" w:hAnsi="Arial" w:cs="Arial"/>
                <w:sz w:val="22"/>
                <w:szCs w:val="22"/>
              </w:rPr>
              <w:t>, and include below some frequently asked questions arising from the communique.</w:t>
            </w:r>
          </w:p>
          <w:p w:rsidR="00B401D0" w:rsidRDefault="00B401D0" w:rsidP="00B401D0">
            <w:pPr>
              <w:spacing w:after="120"/>
              <w:jc w:val="both"/>
              <w:rPr>
                <w:rFonts w:ascii="Arial" w:hAnsi="Arial" w:cs="Arial"/>
                <w:sz w:val="22"/>
                <w:szCs w:val="22"/>
              </w:rPr>
            </w:pPr>
          </w:p>
          <w:p w:rsidR="004402D3" w:rsidRPr="00441F00" w:rsidRDefault="004402D3" w:rsidP="004402D3">
            <w:pPr>
              <w:numPr>
                <w:ilvl w:val="0"/>
                <w:numId w:val="1"/>
              </w:numPr>
              <w:spacing w:after="120"/>
              <w:jc w:val="both"/>
              <w:rPr>
                <w:rFonts w:ascii="Arial" w:hAnsi="Arial" w:cs="Arial"/>
                <w:b/>
                <w:sz w:val="22"/>
                <w:szCs w:val="22"/>
              </w:rPr>
            </w:pPr>
            <w:r w:rsidRPr="00441F00">
              <w:rPr>
                <w:rFonts w:ascii="Arial" w:hAnsi="Arial" w:cs="Arial"/>
                <w:b/>
                <w:sz w:val="22"/>
                <w:szCs w:val="22"/>
              </w:rPr>
              <w:t>What is the effective date of the amendment?</w:t>
            </w:r>
          </w:p>
          <w:p w:rsidR="004402D3" w:rsidRPr="001E7EC6" w:rsidRDefault="004402D3" w:rsidP="004402D3">
            <w:pPr>
              <w:spacing w:after="120"/>
              <w:jc w:val="both"/>
              <w:rPr>
                <w:rFonts w:ascii="Arial" w:hAnsi="Arial" w:cs="Arial"/>
                <w:sz w:val="22"/>
                <w:szCs w:val="22"/>
              </w:rPr>
            </w:pPr>
            <w:r>
              <w:rPr>
                <w:rFonts w:ascii="Arial" w:hAnsi="Arial" w:cs="Arial"/>
                <w:sz w:val="22"/>
                <w:szCs w:val="22"/>
              </w:rPr>
              <w:t xml:space="preserve">The effective date of the amendments was on or after 1 July 2016, in other words, financial years ending after 30 June 2016. It is not the intention for the amendment to be </w:t>
            </w:r>
            <w:r w:rsidRPr="003A416B">
              <w:rPr>
                <w:rFonts w:ascii="Arial" w:eastAsia="Calibri" w:hAnsi="Arial" w:cs="Arial"/>
                <w:sz w:val="22"/>
                <w:szCs w:val="22"/>
              </w:rPr>
              <w:t>applied retrospectively to earlier financial periods</w:t>
            </w:r>
            <w:r>
              <w:rPr>
                <w:rFonts w:ascii="Arial" w:eastAsia="Calibri" w:hAnsi="Arial" w:cs="Arial"/>
                <w:sz w:val="22"/>
                <w:szCs w:val="22"/>
              </w:rPr>
              <w:t>. It should be noted, however, that paragraph 290.25 has been effective from 1 January 2011 and should be adhered to.</w:t>
            </w:r>
          </w:p>
          <w:p w:rsidR="004402D3" w:rsidRPr="00441F00" w:rsidRDefault="004402D3" w:rsidP="004402D3">
            <w:pPr>
              <w:tabs>
                <w:tab w:val="left" w:pos="2256"/>
              </w:tabs>
              <w:spacing w:after="120"/>
              <w:ind w:right="253"/>
              <w:jc w:val="both"/>
              <w:rPr>
                <w:rFonts w:ascii="Arial" w:hAnsi="Arial" w:cs="Arial"/>
                <w:color w:val="FF0000"/>
                <w:sz w:val="22"/>
                <w:szCs w:val="22"/>
              </w:rPr>
            </w:pPr>
          </w:p>
          <w:p w:rsidR="004402D3" w:rsidRPr="00441F00" w:rsidRDefault="004402D3" w:rsidP="004402D3">
            <w:pPr>
              <w:numPr>
                <w:ilvl w:val="0"/>
                <w:numId w:val="1"/>
              </w:numPr>
              <w:spacing w:after="120"/>
              <w:jc w:val="both"/>
              <w:rPr>
                <w:rFonts w:ascii="Arial" w:hAnsi="Arial" w:cs="Arial"/>
                <w:b/>
                <w:sz w:val="22"/>
                <w:szCs w:val="22"/>
              </w:rPr>
            </w:pPr>
            <w:r w:rsidRPr="00441F00">
              <w:rPr>
                <w:rFonts w:ascii="Arial" w:hAnsi="Arial" w:cs="Arial"/>
                <w:b/>
                <w:sz w:val="22"/>
                <w:szCs w:val="22"/>
              </w:rPr>
              <w:t>Are entities with a Public Interest Score above 350 considered to be PIEs?</w:t>
            </w:r>
          </w:p>
          <w:p w:rsidR="004402D3" w:rsidRPr="00D96345" w:rsidRDefault="004402D3" w:rsidP="004402D3">
            <w:pPr>
              <w:spacing w:after="120"/>
              <w:jc w:val="both"/>
              <w:rPr>
                <w:rFonts w:ascii="Arial" w:hAnsi="Arial" w:cs="Arial"/>
                <w:b/>
                <w:sz w:val="22"/>
                <w:szCs w:val="22"/>
              </w:rPr>
            </w:pPr>
            <w:r w:rsidRPr="005F2152">
              <w:rPr>
                <w:rFonts w:ascii="Arial" w:hAnsi="Arial" w:cs="Arial"/>
                <w:sz w:val="22"/>
                <w:szCs w:val="22"/>
              </w:rPr>
              <w:t>Please refer to the</w:t>
            </w:r>
            <w:r>
              <w:rPr>
                <w:rFonts w:ascii="Arial" w:hAnsi="Arial" w:cs="Arial"/>
                <w:sz w:val="22"/>
                <w:szCs w:val="22"/>
              </w:rPr>
              <w:t xml:space="preserve"> section of </w:t>
            </w:r>
            <w:r w:rsidR="00C04220">
              <w:rPr>
                <w:rFonts w:ascii="Arial" w:hAnsi="Arial" w:cs="Arial"/>
                <w:sz w:val="22"/>
                <w:szCs w:val="22"/>
              </w:rPr>
              <w:t>12</w:t>
            </w:r>
            <w:r w:rsidR="00B401D0">
              <w:rPr>
                <w:rFonts w:ascii="Arial" w:hAnsi="Arial" w:cs="Arial"/>
                <w:sz w:val="22"/>
                <w:szCs w:val="22"/>
              </w:rPr>
              <w:t xml:space="preserve"> </w:t>
            </w:r>
            <w:r w:rsidR="00C04220">
              <w:rPr>
                <w:rFonts w:ascii="Arial" w:hAnsi="Arial" w:cs="Arial"/>
                <w:sz w:val="22"/>
                <w:szCs w:val="22"/>
              </w:rPr>
              <w:t xml:space="preserve">December </w:t>
            </w:r>
            <w:r>
              <w:rPr>
                <w:rFonts w:ascii="Arial" w:hAnsi="Arial" w:cs="Arial"/>
                <w:sz w:val="22"/>
                <w:szCs w:val="22"/>
              </w:rPr>
              <w:t>2016 IRBA</w:t>
            </w:r>
            <w:r w:rsidRPr="005F2152">
              <w:rPr>
                <w:rFonts w:ascii="Arial" w:hAnsi="Arial" w:cs="Arial"/>
                <w:sz w:val="22"/>
                <w:szCs w:val="22"/>
              </w:rPr>
              <w:t xml:space="preserve"> </w:t>
            </w:r>
            <w:r>
              <w:rPr>
                <w:rFonts w:ascii="Arial" w:hAnsi="Arial" w:cs="Arial"/>
                <w:sz w:val="22"/>
                <w:szCs w:val="22"/>
              </w:rPr>
              <w:t xml:space="preserve">communique titled, </w:t>
            </w:r>
            <w:hyperlink r:id="rId5" w:history="1">
              <w:r w:rsidRPr="00F7587C">
                <w:t>'</w:t>
              </w:r>
              <w:r w:rsidRPr="006E3606">
                <w:rPr>
                  <w:rStyle w:val="Hyperlink"/>
                  <w:rFonts w:ascii="Arial" w:hAnsi="Arial" w:cs="Arial"/>
                  <w:b/>
                  <w:sz w:val="22"/>
                  <w:szCs w:val="22"/>
                </w:rPr>
                <w:t>Clarification of the definition of Public Interest Entity and Public Interest Score</w:t>
              </w:r>
            </w:hyperlink>
            <w:r>
              <w:rPr>
                <w:rFonts w:ascii="Arial" w:hAnsi="Arial" w:cs="Arial"/>
                <w:sz w:val="22"/>
                <w:szCs w:val="22"/>
              </w:rPr>
              <w:t>'</w:t>
            </w:r>
          </w:p>
          <w:p w:rsidR="004402D3" w:rsidRPr="00AA1329" w:rsidRDefault="004402D3" w:rsidP="004402D3">
            <w:pPr>
              <w:spacing w:after="120"/>
              <w:ind w:right="253"/>
              <w:jc w:val="both"/>
              <w:rPr>
                <w:rFonts w:ascii="Arial" w:hAnsi="Arial" w:cs="Arial"/>
                <w:sz w:val="22"/>
                <w:szCs w:val="22"/>
              </w:rPr>
            </w:pPr>
          </w:p>
          <w:p w:rsidR="004402D3" w:rsidRPr="00441F00" w:rsidRDefault="004402D3" w:rsidP="004402D3">
            <w:pPr>
              <w:numPr>
                <w:ilvl w:val="0"/>
                <w:numId w:val="1"/>
              </w:numPr>
              <w:spacing w:after="120"/>
              <w:jc w:val="both"/>
              <w:rPr>
                <w:rFonts w:ascii="Arial" w:hAnsi="Arial" w:cs="Arial"/>
                <w:b/>
                <w:sz w:val="22"/>
                <w:szCs w:val="22"/>
              </w:rPr>
            </w:pPr>
            <w:r w:rsidRPr="00441F00">
              <w:rPr>
                <w:rFonts w:ascii="Arial" w:hAnsi="Arial" w:cs="Arial"/>
                <w:b/>
                <w:sz w:val="22"/>
                <w:szCs w:val="22"/>
              </w:rPr>
              <w:t xml:space="preserve">Section 290.26a lists entities that generally satisfy the conditions to be considered PIEs. Included in this list are </w:t>
            </w:r>
            <w:r w:rsidRPr="00441F00">
              <w:rPr>
                <w:rFonts w:ascii="Arial" w:hAnsi="Arial" w:cs="Arial"/>
                <w:b/>
                <w:i/>
                <w:sz w:val="22"/>
                <w:szCs w:val="22"/>
              </w:rPr>
              <w:t>Pension Fund Administrators (in terms of Section 13B of the Pension Funds Act 1956, (Act No. 24 of 1956)) with total assets under administration in excess of R20 billion</w:t>
            </w:r>
            <w:r w:rsidRPr="00441F00">
              <w:rPr>
                <w:rFonts w:ascii="Arial" w:hAnsi="Arial" w:cs="Arial"/>
                <w:b/>
                <w:sz w:val="22"/>
                <w:szCs w:val="22"/>
              </w:rPr>
              <w:t>. Does this definition include both benefit administrators and investment administrators?</w:t>
            </w:r>
          </w:p>
          <w:p w:rsidR="004402D3" w:rsidRDefault="004402D3" w:rsidP="004402D3">
            <w:pPr>
              <w:jc w:val="both"/>
              <w:rPr>
                <w:rFonts w:ascii="Arial" w:hAnsi="Arial" w:cs="Arial"/>
                <w:sz w:val="22"/>
                <w:szCs w:val="22"/>
              </w:rPr>
            </w:pPr>
            <w:r>
              <w:rPr>
                <w:rFonts w:ascii="Arial" w:hAnsi="Arial" w:cs="Arial"/>
                <w:sz w:val="22"/>
                <w:szCs w:val="22"/>
              </w:rPr>
              <w:t>Yes. This applies to both benefit</w:t>
            </w:r>
            <w:r w:rsidRPr="002E1D42">
              <w:rPr>
                <w:rFonts w:ascii="Arial" w:hAnsi="Arial" w:cs="Arial"/>
                <w:sz w:val="22"/>
                <w:szCs w:val="22"/>
              </w:rPr>
              <w:t xml:space="preserve"> </w:t>
            </w:r>
            <w:r>
              <w:rPr>
                <w:rFonts w:ascii="Arial" w:hAnsi="Arial" w:cs="Arial"/>
                <w:sz w:val="22"/>
                <w:szCs w:val="22"/>
              </w:rPr>
              <w:t>administrators</w:t>
            </w:r>
            <w:r w:rsidRPr="002E1D42">
              <w:rPr>
                <w:rFonts w:ascii="Arial" w:hAnsi="Arial" w:cs="Arial"/>
                <w:sz w:val="22"/>
                <w:szCs w:val="22"/>
              </w:rPr>
              <w:t xml:space="preserve"> </w:t>
            </w:r>
            <w:r>
              <w:rPr>
                <w:rFonts w:ascii="Arial" w:hAnsi="Arial" w:cs="Arial"/>
                <w:sz w:val="22"/>
                <w:szCs w:val="22"/>
              </w:rPr>
              <w:t>and investment</w:t>
            </w:r>
            <w:r w:rsidRPr="002E1D42">
              <w:rPr>
                <w:rFonts w:ascii="Arial" w:hAnsi="Arial" w:cs="Arial"/>
                <w:sz w:val="22"/>
                <w:szCs w:val="22"/>
              </w:rPr>
              <w:t xml:space="preserve"> administrators</w:t>
            </w:r>
            <w:r>
              <w:rPr>
                <w:rFonts w:ascii="Arial" w:hAnsi="Arial" w:cs="Arial"/>
                <w:sz w:val="22"/>
                <w:szCs w:val="22"/>
              </w:rPr>
              <w:t xml:space="preserve"> registered under the Pension</w:t>
            </w:r>
            <w:bookmarkStart w:id="1" w:name="_GoBack"/>
            <w:bookmarkEnd w:id="1"/>
            <w:r>
              <w:rPr>
                <w:rFonts w:ascii="Arial" w:hAnsi="Arial" w:cs="Arial"/>
                <w:sz w:val="22"/>
                <w:szCs w:val="22"/>
              </w:rPr>
              <w:t xml:space="preserve"> Fund</w:t>
            </w:r>
            <w:r w:rsidR="00B401D0">
              <w:rPr>
                <w:rFonts w:ascii="Arial" w:hAnsi="Arial" w:cs="Arial"/>
                <w:sz w:val="22"/>
                <w:szCs w:val="22"/>
              </w:rPr>
              <w:t>s</w:t>
            </w:r>
            <w:r>
              <w:rPr>
                <w:rFonts w:ascii="Arial" w:hAnsi="Arial" w:cs="Arial"/>
                <w:sz w:val="22"/>
                <w:szCs w:val="22"/>
              </w:rPr>
              <w:t xml:space="preserve"> Act.</w:t>
            </w:r>
          </w:p>
          <w:p w:rsidR="004402D3" w:rsidRDefault="004402D3" w:rsidP="00B401D0">
            <w:pPr>
              <w:spacing w:after="120"/>
              <w:jc w:val="both"/>
              <w:rPr>
                <w:rFonts w:ascii="Arial" w:hAnsi="Arial" w:cs="Arial"/>
                <w:sz w:val="22"/>
                <w:szCs w:val="22"/>
              </w:rPr>
            </w:pPr>
          </w:p>
          <w:p w:rsidR="004402D3" w:rsidRPr="00441F00" w:rsidRDefault="004402D3" w:rsidP="004402D3">
            <w:pPr>
              <w:numPr>
                <w:ilvl w:val="0"/>
                <w:numId w:val="1"/>
              </w:numPr>
              <w:spacing w:after="120"/>
              <w:jc w:val="both"/>
              <w:rPr>
                <w:rFonts w:ascii="Arial" w:hAnsi="Arial" w:cs="Arial"/>
                <w:b/>
                <w:sz w:val="22"/>
                <w:szCs w:val="22"/>
              </w:rPr>
            </w:pPr>
            <w:r w:rsidRPr="00441F00">
              <w:rPr>
                <w:rFonts w:ascii="Arial" w:hAnsi="Arial" w:cs="Arial"/>
                <w:b/>
                <w:sz w:val="22"/>
                <w:szCs w:val="22"/>
              </w:rPr>
              <w:t xml:space="preserve">Section 290.26a lists entities that generally satisfy the conditions to be considered PIEs. Included in this list are </w:t>
            </w:r>
            <w:r w:rsidR="00C04220">
              <w:rPr>
                <w:rFonts w:ascii="Arial" w:hAnsi="Arial" w:cs="Arial"/>
                <w:b/>
                <w:i/>
                <w:sz w:val="22"/>
                <w:szCs w:val="22"/>
              </w:rPr>
              <w:t>'</w:t>
            </w:r>
            <w:r w:rsidRPr="00441F00">
              <w:rPr>
                <w:rFonts w:ascii="Arial" w:hAnsi="Arial" w:cs="Arial"/>
                <w:b/>
                <w:i/>
                <w:sz w:val="22"/>
                <w:szCs w:val="22"/>
              </w:rPr>
              <w:t>Collective Investment Schemes, including hedge funds, in terms of the Collective Investment Schemes Control Act, 2002 (Act No. 45 of 2002), that hold assets in excess of R15 billion</w:t>
            </w:r>
            <w:r w:rsidR="00C04220">
              <w:rPr>
                <w:rFonts w:ascii="Arial" w:hAnsi="Arial" w:cs="Arial"/>
                <w:b/>
                <w:i/>
                <w:sz w:val="22"/>
                <w:szCs w:val="22"/>
              </w:rPr>
              <w:t>'</w:t>
            </w:r>
            <w:r w:rsidRPr="00441F00">
              <w:rPr>
                <w:rFonts w:ascii="Arial" w:hAnsi="Arial" w:cs="Arial"/>
                <w:b/>
                <w:sz w:val="22"/>
                <w:szCs w:val="22"/>
              </w:rPr>
              <w:t>. Would this assessment</w:t>
            </w:r>
            <w:r>
              <w:rPr>
                <w:rFonts w:ascii="Arial" w:hAnsi="Arial" w:cs="Arial"/>
                <w:b/>
                <w:sz w:val="22"/>
                <w:szCs w:val="22"/>
              </w:rPr>
              <w:t xml:space="preserve"> of the value of assets held</w:t>
            </w:r>
            <w:r w:rsidRPr="00441F00">
              <w:rPr>
                <w:rFonts w:ascii="Arial" w:hAnsi="Arial" w:cs="Arial"/>
                <w:b/>
                <w:sz w:val="22"/>
                <w:szCs w:val="22"/>
              </w:rPr>
              <w:t xml:space="preserve"> be done at a Scheme or portfolio level?</w:t>
            </w:r>
          </w:p>
          <w:p w:rsidR="004402D3" w:rsidRPr="00185B81" w:rsidRDefault="004402D3" w:rsidP="004402D3">
            <w:pPr>
              <w:spacing w:after="120" w:line="280" w:lineRule="exact"/>
              <w:jc w:val="both"/>
              <w:rPr>
                <w:rFonts w:ascii="Arial" w:hAnsi="Arial" w:cs="Arial"/>
                <w:i/>
                <w:sz w:val="22"/>
                <w:szCs w:val="22"/>
              </w:rPr>
            </w:pPr>
            <w:r w:rsidRPr="00601CB0">
              <w:rPr>
                <w:rFonts w:ascii="Arial" w:hAnsi="Arial" w:cs="Arial"/>
                <w:sz w:val="22"/>
                <w:szCs w:val="22"/>
              </w:rPr>
              <w:t xml:space="preserve">According to the Collective Investment Schemes Control Act </w:t>
            </w:r>
            <w:r>
              <w:rPr>
                <w:rFonts w:ascii="Arial" w:hAnsi="Arial" w:cs="Arial"/>
                <w:sz w:val="22"/>
                <w:szCs w:val="22"/>
              </w:rPr>
              <w:t>2002, (Act 45 of 2002)</w:t>
            </w:r>
            <w:r>
              <w:rPr>
                <w:rFonts w:ascii="Arial" w:hAnsi="Arial" w:cs="Arial"/>
                <w:i/>
                <w:sz w:val="22"/>
                <w:szCs w:val="22"/>
              </w:rPr>
              <w:t xml:space="preserve"> </w:t>
            </w:r>
            <w:r w:rsidRPr="00396FD0">
              <w:rPr>
                <w:rFonts w:ascii="Arial" w:hAnsi="Arial" w:cs="Arial"/>
                <w:sz w:val="22"/>
                <w:szCs w:val="22"/>
              </w:rPr>
              <w:t xml:space="preserve">a </w:t>
            </w:r>
            <w:r w:rsidR="00C04220">
              <w:rPr>
                <w:rFonts w:ascii="Arial" w:hAnsi="Arial" w:cs="Arial"/>
                <w:i/>
                <w:sz w:val="22"/>
                <w:szCs w:val="22"/>
                <w:lang w:val="en-ZA" w:eastAsia="en-ZA"/>
              </w:rPr>
              <w:t>'collective investment scheme'</w:t>
            </w:r>
            <w:r w:rsidRPr="00185B81">
              <w:rPr>
                <w:rFonts w:ascii="Arial" w:hAnsi="Arial" w:cs="Arial"/>
                <w:i/>
                <w:sz w:val="22"/>
                <w:szCs w:val="22"/>
                <w:lang w:val="en-ZA" w:eastAsia="en-ZA"/>
              </w:rPr>
              <w:t xml:space="preserve"> is defined as a scheme, in whatever form, including an open-ended investment company, in pursuance of which members of the public are invited or permitted to invest money or other assets in a portfolio, and in terms of which-</w:t>
            </w:r>
          </w:p>
          <w:p w:rsidR="004402D3" w:rsidRPr="00185B81" w:rsidRDefault="004402D3" w:rsidP="004402D3">
            <w:pPr>
              <w:autoSpaceDE w:val="0"/>
              <w:autoSpaceDN w:val="0"/>
              <w:adjustRightInd w:val="0"/>
              <w:ind w:left="720"/>
              <w:jc w:val="both"/>
              <w:rPr>
                <w:rFonts w:ascii="Arial" w:hAnsi="Arial" w:cs="Arial"/>
                <w:i/>
                <w:sz w:val="22"/>
                <w:szCs w:val="22"/>
                <w:lang w:val="en-ZA" w:eastAsia="en-ZA"/>
              </w:rPr>
            </w:pPr>
            <w:r w:rsidRPr="00185B81">
              <w:rPr>
                <w:rFonts w:ascii="Arial" w:hAnsi="Arial" w:cs="Arial"/>
                <w:bCs/>
                <w:i/>
                <w:iCs/>
                <w:sz w:val="22"/>
                <w:szCs w:val="22"/>
                <w:lang w:val="en-ZA" w:eastAsia="en-ZA"/>
              </w:rPr>
              <w:t>(a)</w:t>
            </w:r>
            <w:r w:rsidRPr="00185B81">
              <w:rPr>
                <w:rFonts w:ascii="Arial" w:hAnsi="Arial" w:cs="Arial"/>
                <w:b/>
                <w:bCs/>
                <w:i/>
                <w:iCs/>
                <w:sz w:val="22"/>
                <w:szCs w:val="22"/>
                <w:lang w:val="en-ZA" w:eastAsia="en-ZA"/>
              </w:rPr>
              <w:t xml:space="preserve"> </w:t>
            </w:r>
            <w:r w:rsidRPr="00185B81">
              <w:rPr>
                <w:rFonts w:ascii="Arial" w:hAnsi="Arial" w:cs="Arial"/>
                <w:i/>
                <w:sz w:val="22"/>
                <w:szCs w:val="22"/>
                <w:lang w:val="en-ZA" w:eastAsia="en-ZA"/>
              </w:rPr>
              <w:t>two or more investors contribute money or other</w:t>
            </w:r>
            <w:r>
              <w:rPr>
                <w:rFonts w:ascii="Arial" w:hAnsi="Arial" w:cs="Arial"/>
                <w:i/>
                <w:sz w:val="22"/>
                <w:szCs w:val="22"/>
                <w:lang w:val="en-ZA" w:eastAsia="en-ZA"/>
              </w:rPr>
              <w:t xml:space="preserve"> assets to and hold a</w:t>
            </w:r>
          </w:p>
          <w:p w:rsidR="004402D3" w:rsidRPr="00185B81" w:rsidRDefault="004402D3" w:rsidP="004402D3">
            <w:pPr>
              <w:autoSpaceDE w:val="0"/>
              <w:autoSpaceDN w:val="0"/>
              <w:adjustRightInd w:val="0"/>
              <w:ind w:left="720"/>
              <w:jc w:val="both"/>
              <w:rPr>
                <w:rFonts w:ascii="Arial" w:hAnsi="Arial" w:cs="Arial"/>
                <w:i/>
                <w:sz w:val="22"/>
                <w:szCs w:val="22"/>
                <w:lang w:val="en-ZA" w:eastAsia="en-ZA"/>
              </w:rPr>
            </w:pPr>
            <w:r w:rsidRPr="00185B81">
              <w:rPr>
                <w:rFonts w:ascii="Arial" w:hAnsi="Arial" w:cs="Arial"/>
                <w:i/>
                <w:sz w:val="22"/>
                <w:szCs w:val="22"/>
                <w:lang w:val="en-ZA" w:eastAsia="en-ZA"/>
              </w:rPr>
              <w:t>participatory interest in a portfolio of the scheme through shares, units or any other form of participatory interest; and</w:t>
            </w:r>
          </w:p>
          <w:p w:rsidR="004402D3" w:rsidRPr="00185B81" w:rsidRDefault="004402D3" w:rsidP="004402D3">
            <w:pPr>
              <w:autoSpaceDE w:val="0"/>
              <w:autoSpaceDN w:val="0"/>
              <w:adjustRightInd w:val="0"/>
              <w:ind w:left="720"/>
              <w:jc w:val="both"/>
              <w:rPr>
                <w:rFonts w:ascii="Arial" w:hAnsi="Arial" w:cs="Arial"/>
                <w:i/>
                <w:sz w:val="22"/>
                <w:szCs w:val="22"/>
                <w:lang w:val="en-ZA" w:eastAsia="en-ZA"/>
              </w:rPr>
            </w:pPr>
            <w:r w:rsidRPr="00185B81">
              <w:rPr>
                <w:rFonts w:ascii="Arial" w:hAnsi="Arial" w:cs="Arial"/>
                <w:i/>
                <w:iCs/>
                <w:sz w:val="22"/>
                <w:szCs w:val="22"/>
                <w:lang w:val="en-ZA" w:eastAsia="en-ZA"/>
              </w:rPr>
              <w:t xml:space="preserve">(b) </w:t>
            </w:r>
            <w:r w:rsidRPr="00185B81">
              <w:rPr>
                <w:rFonts w:ascii="Arial" w:hAnsi="Arial" w:cs="Arial"/>
                <w:i/>
                <w:sz w:val="22"/>
                <w:szCs w:val="22"/>
                <w:lang w:val="en-ZA" w:eastAsia="en-ZA"/>
              </w:rPr>
              <w:t>the investors share the risk and the benefit of investment in proportion to their participatory interest in a portfolio of a scheme or on any other basis, determined in the deed,</w:t>
            </w:r>
          </w:p>
          <w:p w:rsidR="004402D3" w:rsidRPr="00185B81" w:rsidRDefault="004402D3" w:rsidP="004402D3">
            <w:pPr>
              <w:autoSpaceDE w:val="0"/>
              <w:autoSpaceDN w:val="0"/>
              <w:adjustRightInd w:val="0"/>
              <w:jc w:val="both"/>
              <w:rPr>
                <w:rFonts w:ascii="Arial" w:hAnsi="Arial" w:cs="Arial"/>
                <w:i/>
                <w:sz w:val="22"/>
                <w:szCs w:val="22"/>
                <w:lang w:val="en-ZA" w:eastAsia="en-ZA"/>
              </w:rPr>
            </w:pPr>
            <w:r w:rsidRPr="00185B81">
              <w:rPr>
                <w:rFonts w:ascii="Arial" w:hAnsi="Arial" w:cs="Arial"/>
                <w:bCs/>
                <w:i/>
                <w:iCs/>
                <w:sz w:val="22"/>
                <w:szCs w:val="22"/>
                <w:lang w:val="en-ZA" w:eastAsia="en-ZA"/>
              </w:rPr>
              <w:t>b</w:t>
            </w:r>
            <w:r w:rsidRPr="00185B81">
              <w:rPr>
                <w:rFonts w:ascii="Arial" w:hAnsi="Arial" w:cs="Arial"/>
                <w:i/>
                <w:sz w:val="22"/>
                <w:szCs w:val="22"/>
                <w:lang w:val="en-ZA" w:eastAsia="en-ZA"/>
              </w:rPr>
              <w:t>ut not a collective investment scheme authorised by any other Act.</w:t>
            </w:r>
          </w:p>
          <w:p w:rsidR="004402D3" w:rsidRDefault="004402D3" w:rsidP="004402D3">
            <w:pPr>
              <w:autoSpaceDE w:val="0"/>
              <w:autoSpaceDN w:val="0"/>
              <w:adjustRightInd w:val="0"/>
              <w:jc w:val="both"/>
              <w:rPr>
                <w:sz w:val="21"/>
                <w:szCs w:val="21"/>
                <w:lang w:val="en-ZA" w:eastAsia="en-ZA"/>
              </w:rPr>
            </w:pPr>
          </w:p>
          <w:p w:rsidR="004402D3" w:rsidRDefault="004402D3" w:rsidP="004402D3">
            <w:pPr>
              <w:jc w:val="both"/>
              <w:rPr>
                <w:rFonts w:ascii="Arial" w:hAnsi="Arial" w:cs="Arial"/>
                <w:sz w:val="22"/>
                <w:szCs w:val="22"/>
              </w:rPr>
            </w:pPr>
            <w:r>
              <w:rPr>
                <w:rFonts w:ascii="Arial" w:hAnsi="Arial" w:cs="Arial"/>
                <w:sz w:val="22"/>
                <w:szCs w:val="22"/>
              </w:rPr>
              <w:t>The</w:t>
            </w:r>
            <w:r w:rsidRPr="00EB1B48">
              <w:rPr>
                <w:rFonts w:ascii="Arial" w:hAnsi="Arial" w:cs="Arial"/>
                <w:sz w:val="22"/>
                <w:szCs w:val="22"/>
              </w:rPr>
              <w:t xml:space="preserve"> threshold</w:t>
            </w:r>
            <w:r>
              <w:rPr>
                <w:rFonts w:ascii="Arial" w:hAnsi="Arial" w:cs="Arial"/>
                <w:sz w:val="22"/>
                <w:szCs w:val="22"/>
              </w:rPr>
              <w:t xml:space="preserve"> in Section 290.26a was set</w:t>
            </w:r>
            <w:r w:rsidRPr="00EB1B48">
              <w:rPr>
                <w:rFonts w:ascii="Arial" w:hAnsi="Arial" w:cs="Arial"/>
                <w:sz w:val="22"/>
                <w:szCs w:val="22"/>
              </w:rPr>
              <w:t xml:space="preserve">, </w:t>
            </w:r>
            <w:r>
              <w:rPr>
                <w:rFonts w:ascii="Arial" w:hAnsi="Arial" w:cs="Arial"/>
                <w:sz w:val="22"/>
                <w:szCs w:val="22"/>
              </w:rPr>
              <w:t>to be applied by</w:t>
            </w:r>
            <w:r w:rsidRPr="00EB1B48">
              <w:rPr>
                <w:rFonts w:ascii="Arial" w:hAnsi="Arial" w:cs="Arial"/>
                <w:sz w:val="22"/>
                <w:szCs w:val="22"/>
              </w:rPr>
              <w:t xml:space="preserve"> registered auditors at a portfolio</w:t>
            </w:r>
          </w:p>
          <w:p w:rsidR="004402D3" w:rsidRDefault="004402D3" w:rsidP="004402D3">
            <w:pPr>
              <w:autoSpaceDE w:val="0"/>
              <w:autoSpaceDN w:val="0"/>
              <w:adjustRightInd w:val="0"/>
              <w:jc w:val="both"/>
              <w:rPr>
                <w:rFonts w:ascii="Arial" w:hAnsi="Arial" w:cs="Arial"/>
                <w:sz w:val="22"/>
                <w:szCs w:val="22"/>
              </w:rPr>
            </w:pPr>
            <w:r w:rsidRPr="00EB1B48">
              <w:rPr>
                <w:rFonts w:ascii="Arial" w:hAnsi="Arial" w:cs="Arial"/>
                <w:sz w:val="22"/>
                <w:szCs w:val="22"/>
              </w:rPr>
              <w:t>level</w:t>
            </w:r>
            <w:r>
              <w:rPr>
                <w:rFonts w:ascii="Arial" w:hAnsi="Arial" w:cs="Arial"/>
                <w:sz w:val="22"/>
                <w:szCs w:val="22"/>
              </w:rPr>
              <w:t xml:space="preserve"> i.e. at the level of a fund within a Collective Investment Scheme</w:t>
            </w:r>
            <w:r w:rsidRPr="00EB1B48">
              <w:rPr>
                <w:rFonts w:ascii="Arial" w:hAnsi="Arial" w:cs="Arial"/>
                <w:sz w:val="22"/>
                <w:szCs w:val="22"/>
              </w:rPr>
              <w:t>.</w:t>
            </w:r>
          </w:p>
          <w:p w:rsidR="004402D3" w:rsidRPr="00EB1B48" w:rsidRDefault="004402D3" w:rsidP="00B401D0">
            <w:pPr>
              <w:autoSpaceDE w:val="0"/>
              <w:autoSpaceDN w:val="0"/>
              <w:adjustRightInd w:val="0"/>
              <w:spacing w:after="120"/>
              <w:jc w:val="both"/>
              <w:rPr>
                <w:rFonts w:ascii="Arial" w:hAnsi="Arial" w:cs="Arial"/>
                <w:sz w:val="22"/>
                <w:szCs w:val="22"/>
              </w:rPr>
            </w:pPr>
          </w:p>
          <w:p w:rsidR="004402D3" w:rsidRDefault="004402D3" w:rsidP="004402D3">
            <w:pPr>
              <w:numPr>
                <w:ilvl w:val="0"/>
                <w:numId w:val="1"/>
              </w:numPr>
              <w:spacing w:after="120"/>
              <w:jc w:val="both"/>
              <w:rPr>
                <w:rFonts w:ascii="Arial" w:hAnsi="Arial" w:cs="Arial"/>
                <w:b/>
                <w:sz w:val="22"/>
                <w:szCs w:val="22"/>
              </w:rPr>
            </w:pPr>
            <w:r w:rsidRPr="000F75E1">
              <w:rPr>
                <w:rFonts w:ascii="Arial" w:hAnsi="Arial" w:cs="Arial"/>
                <w:b/>
                <w:sz w:val="22"/>
                <w:szCs w:val="22"/>
              </w:rPr>
              <w:t>Pa</w:t>
            </w:r>
            <w:r w:rsidR="00C04220">
              <w:rPr>
                <w:rFonts w:ascii="Arial" w:hAnsi="Arial" w:cs="Arial"/>
                <w:b/>
                <w:sz w:val="22"/>
                <w:szCs w:val="22"/>
              </w:rPr>
              <w:t>ragraph 290.26 (a) states that '</w:t>
            </w:r>
            <w:r w:rsidRPr="000F75E1">
              <w:rPr>
                <w:rFonts w:ascii="Arial" w:hAnsi="Arial" w:cs="Arial"/>
                <w:b/>
                <w:sz w:val="22"/>
                <w:szCs w:val="22"/>
              </w:rPr>
              <w:t>Medical Schemes as defined in the Medical Schemes Act, 1998 (Act No. 131 of 1998) that are open to the p</w:t>
            </w:r>
            <w:r w:rsidR="00C04220">
              <w:rPr>
                <w:rFonts w:ascii="Arial" w:hAnsi="Arial" w:cs="Arial"/>
                <w:b/>
                <w:sz w:val="22"/>
                <w:szCs w:val="22"/>
              </w:rPr>
              <w:t>ublic (commonly referred to as '</w:t>
            </w:r>
            <w:r w:rsidRPr="000F75E1">
              <w:rPr>
                <w:rFonts w:ascii="Arial" w:hAnsi="Arial" w:cs="Arial"/>
                <w:b/>
                <w:sz w:val="22"/>
                <w:szCs w:val="22"/>
              </w:rPr>
              <w:t>open medical schemes</w:t>
            </w:r>
            <w:r w:rsidR="00C04220">
              <w:rPr>
                <w:rFonts w:ascii="Arial" w:hAnsi="Arial" w:cs="Arial"/>
                <w:b/>
                <w:sz w:val="22"/>
                <w:szCs w:val="22"/>
              </w:rPr>
              <w:t>'</w:t>
            </w:r>
            <w:r w:rsidRPr="000F75E1">
              <w:rPr>
                <w:rFonts w:ascii="Arial" w:hAnsi="Arial" w:cs="Arial"/>
                <w:b/>
                <w:sz w:val="22"/>
                <w:szCs w:val="22"/>
              </w:rPr>
              <w:t>) or are restricted schemes</w:t>
            </w:r>
            <w:r w:rsidR="00C04220">
              <w:rPr>
                <w:rFonts w:ascii="Arial" w:hAnsi="Arial" w:cs="Arial"/>
                <w:b/>
                <w:sz w:val="22"/>
                <w:szCs w:val="22"/>
              </w:rPr>
              <w:t xml:space="preserve"> with a large number of members'</w:t>
            </w:r>
            <w:r w:rsidRPr="000F75E1">
              <w:rPr>
                <w:rFonts w:ascii="Arial" w:hAnsi="Arial" w:cs="Arial"/>
                <w:b/>
                <w:sz w:val="22"/>
                <w:szCs w:val="22"/>
              </w:rPr>
              <w:t xml:space="preserve"> generally satisfy the conditions in paragraph 290.26 as having a large number and wide range of stakeholders and thus are likely to be considered as Public Interest Entities. Is there any </w:t>
            </w:r>
            <w:r w:rsidR="00C04220">
              <w:rPr>
                <w:rFonts w:ascii="Arial" w:hAnsi="Arial" w:cs="Arial"/>
                <w:b/>
                <w:sz w:val="22"/>
                <w:szCs w:val="22"/>
              </w:rPr>
              <w:t>guidance on what is considered '</w:t>
            </w:r>
            <w:r w:rsidRPr="000F75E1">
              <w:rPr>
                <w:rFonts w:ascii="Arial" w:hAnsi="Arial" w:cs="Arial"/>
                <w:b/>
                <w:sz w:val="22"/>
                <w:szCs w:val="22"/>
              </w:rPr>
              <w:t>restricted schemes with a large number of members</w:t>
            </w:r>
            <w:r w:rsidR="00C04220">
              <w:rPr>
                <w:rFonts w:ascii="Arial" w:hAnsi="Arial" w:cs="Arial"/>
                <w:b/>
                <w:sz w:val="22"/>
                <w:szCs w:val="22"/>
              </w:rPr>
              <w:t>'</w:t>
            </w:r>
            <w:r>
              <w:rPr>
                <w:rFonts w:ascii="Arial" w:hAnsi="Arial" w:cs="Arial"/>
                <w:b/>
                <w:sz w:val="22"/>
                <w:szCs w:val="22"/>
              </w:rPr>
              <w:t xml:space="preserve"> and thus likely to be considered as a Public Interest Entity?</w:t>
            </w:r>
          </w:p>
          <w:p w:rsidR="004402D3" w:rsidRDefault="004402D3" w:rsidP="00B401D0">
            <w:pPr>
              <w:pStyle w:val="Default"/>
              <w:spacing w:after="120"/>
              <w:jc w:val="both"/>
            </w:pPr>
            <w:r>
              <w:rPr>
                <w:color w:val="auto"/>
              </w:rPr>
              <w:t> </w:t>
            </w:r>
          </w:p>
          <w:p w:rsidR="004402D3" w:rsidRPr="000F75E1" w:rsidRDefault="004402D3" w:rsidP="004402D3">
            <w:pPr>
              <w:spacing w:after="120"/>
              <w:jc w:val="both"/>
              <w:rPr>
                <w:rFonts w:ascii="Arial" w:hAnsi="Arial" w:cs="Arial"/>
                <w:sz w:val="22"/>
                <w:szCs w:val="22"/>
              </w:rPr>
            </w:pPr>
            <w:r w:rsidRPr="000F75E1">
              <w:rPr>
                <w:rFonts w:ascii="Arial" w:hAnsi="Arial" w:cs="Arial"/>
                <w:sz w:val="22"/>
                <w:szCs w:val="22"/>
              </w:rPr>
              <w:t xml:space="preserve">The Council for Medical Scheme (CMS) issued the </w:t>
            </w:r>
            <w:r w:rsidRPr="00D96345">
              <w:rPr>
                <w:rFonts w:ascii="Arial" w:hAnsi="Arial" w:cs="Arial"/>
                <w:i/>
                <w:sz w:val="22"/>
                <w:szCs w:val="22"/>
              </w:rPr>
              <w:t>Standards for Authorisation of Auditors of Medical Aid Schemes</w:t>
            </w:r>
            <w:r w:rsidRPr="000F75E1">
              <w:rPr>
                <w:rFonts w:ascii="Arial" w:hAnsi="Arial" w:cs="Arial"/>
                <w:sz w:val="22"/>
                <w:szCs w:val="22"/>
              </w:rPr>
              <w:t xml:space="preserve"> </w:t>
            </w:r>
            <w:r>
              <w:rPr>
                <w:rFonts w:ascii="Arial" w:hAnsi="Arial" w:cs="Arial"/>
                <w:sz w:val="22"/>
                <w:szCs w:val="22"/>
              </w:rPr>
              <w:t xml:space="preserve">(the Standards) </w:t>
            </w:r>
            <w:r w:rsidRPr="000F75E1">
              <w:rPr>
                <w:rFonts w:ascii="Arial" w:hAnsi="Arial" w:cs="Arial"/>
                <w:sz w:val="22"/>
                <w:szCs w:val="22"/>
              </w:rPr>
              <w:t>on 11 Nove</w:t>
            </w:r>
            <w:r>
              <w:rPr>
                <w:rFonts w:ascii="Arial" w:hAnsi="Arial" w:cs="Arial"/>
                <w:sz w:val="22"/>
                <w:szCs w:val="22"/>
              </w:rPr>
              <w:t xml:space="preserve">mber 2016, as per </w:t>
            </w:r>
            <w:hyperlink r:id="rId6" w:history="1">
              <w:r w:rsidRPr="00F7587C">
                <w:rPr>
                  <w:rStyle w:val="Hyperlink"/>
                  <w:rFonts w:ascii="Arial" w:hAnsi="Arial" w:cs="Arial"/>
                  <w:sz w:val="22"/>
                  <w:szCs w:val="22"/>
                </w:rPr>
                <w:t xml:space="preserve">Circular 80 of 2016, </w:t>
              </w:r>
              <w:r w:rsidRPr="00F7587C">
                <w:rPr>
                  <w:rStyle w:val="Hyperlink"/>
                  <w:rFonts w:ascii="Arial" w:hAnsi="Arial" w:cs="Arial"/>
                  <w:i/>
                  <w:sz w:val="22"/>
                  <w:szCs w:val="22"/>
                </w:rPr>
                <w:t>Auditor Authorisations and Approvals</w:t>
              </w:r>
            </w:hyperlink>
            <w:r>
              <w:rPr>
                <w:rFonts w:ascii="Arial" w:hAnsi="Arial" w:cs="Arial"/>
                <w:sz w:val="22"/>
                <w:szCs w:val="22"/>
              </w:rPr>
              <w:t>. Section 2 of the Standards, addressing Public Interest Entities states that:</w:t>
            </w:r>
            <w:r w:rsidR="00C04220">
              <w:rPr>
                <w:rFonts w:ascii="Arial" w:hAnsi="Arial" w:cs="Arial"/>
                <w:sz w:val="22"/>
                <w:szCs w:val="22"/>
              </w:rPr>
              <w:t xml:space="preserve"> '</w:t>
            </w:r>
            <w:r w:rsidRPr="000F75E1">
              <w:rPr>
                <w:rFonts w:ascii="Arial" w:hAnsi="Arial" w:cs="Arial"/>
                <w:sz w:val="22"/>
                <w:szCs w:val="22"/>
              </w:rPr>
              <w:t>Restricted medical schemes with a large number of members are determined as those schemes with be</w:t>
            </w:r>
            <w:r w:rsidR="00C04220">
              <w:rPr>
                <w:rFonts w:ascii="Arial" w:hAnsi="Arial" w:cs="Arial"/>
                <w:sz w:val="22"/>
                <w:szCs w:val="22"/>
              </w:rPr>
              <w:t>neficiaries greater than 65 000'</w:t>
            </w:r>
            <w:r w:rsidRPr="000F75E1">
              <w:rPr>
                <w:rFonts w:ascii="Arial" w:hAnsi="Arial" w:cs="Arial"/>
                <w:sz w:val="22"/>
                <w:szCs w:val="22"/>
              </w:rPr>
              <w:t>. This impl</w:t>
            </w:r>
            <w:r>
              <w:rPr>
                <w:rFonts w:ascii="Arial" w:hAnsi="Arial" w:cs="Arial"/>
                <w:sz w:val="22"/>
                <w:szCs w:val="22"/>
              </w:rPr>
              <w:t>ies</w:t>
            </w:r>
            <w:r w:rsidRPr="000F75E1">
              <w:rPr>
                <w:rFonts w:ascii="Arial" w:hAnsi="Arial" w:cs="Arial"/>
                <w:sz w:val="22"/>
                <w:szCs w:val="22"/>
              </w:rPr>
              <w:t xml:space="preserve"> that all restricted medical schemes with greater than 65</w:t>
            </w:r>
            <w:r>
              <w:rPr>
                <w:rFonts w:ascii="Arial" w:hAnsi="Arial" w:cs="Arial"/>
                <w:sz w:val="22"/>
                <w:szCs w:val="22"/>
              </w:rPr>
              <w:t> </w:t>
            </w:r>
            <w:r w:rsidRPr="000F75E1">
              <w:rPr>
                <w:rFonts w:ascii="Arial" w:hAnsi="Arial" w:cs="Arial"/>
                <w:sz w:val="22"/>
                <w:szCs w:val="22"/>
              </w:rPr>
              <w:t>000</w:t>
            </w:r>
            <w:r>
              <w:rPr>
                <w:rFonts w:ascii="Arial" w:hAnsi="Arial" w:cs="Arial"/>
                <w:sz w:val="22"/>
                <w:szCs w:val="22"/>
              </w:rPr>
              <w:t xml:space="preserve"> </w:t>
            </w:r>
            <w:r w:rsidRPr="000F75E1">
              <w:rPr>
                <w:rFonts w:ascii="Arial" w:hAnsi="Arial" w:cs="Arial"/>
                <w:sz w:val="22"/>
                <w:szCs w:val="22"/>
              </w:rPr>
              <w:t xml:space="preserve">beneficiaries should be </w:t>
            </w:r>
            <w:r>
              <w:rPr>
                <w:rFonts w:ascii="Arial" w:hAnsi="Arial" w:cs="Arial"/>
                <w:sz w:val="22"/>
                <w:szCs w:val="22"/>
              </w:rPr>
              <w:t>classified</w:t>
            </w:r>
            <w:r w:rsidRPr="000F75E1">
              <w:rPr>
                <w:rFonts w:ascii="Arial" w:hAnsi="Arial" w:cs="Arial"/>
                <w:sz w:val="22"/>
                <w:szCs w:val="22"/>
              </w:rPr>
              <w:t xml:space="preserve"> as a Public Interest Entity.</w:t>
            </w:r>
          </w:p>
          <w:p w:rsidR="004402D3" w:rsidRDefault="004402D3" w:rsidP="004402D3">
            <w:pPr>
              <w:jc w:val="both"/>
              <w:rPr>
                <w:rFonts w:ascii="Calibri" w:hAnsi="Calibri"/>
                <w:color w:val="1F497D"/>
                <w:sz w:val="22"/>
                <w:szCs w:val="22"/>
              </w:rPr>
            </w:pPr>
            <w:r>
              <w:rPr>
                <w:rFonts w:ascii="Calibri" w:hAnsi="Calibri"/>
                <w:color w:val="1F497D"/>
                <w:sz w:val="22"/>
                <w:szCs w:val="22"/>
              </w:rPr>
              <w:t> </w:t>
            </w:r>
          </w:p>
          <w:p w:rsidR="00B401D0" w:rsidRDefault="00B401D0" w:rsidP="004402D3">
            <w:pPr>
              <w:jc w:val="both"/>
            </w:pPr>
          </w:p>
          <w:p w:rsidR="004402D3" w:rsidRPr="00623C18" w:rsidRDefault="004402D3" w:rsidP="004402D3">
            <w:pPr>
              <w:jc w:val="both"/>
            </w:pPr>
            <w:r>
              <w:rPr>
                <w:rFonts w:ascii="Calibri" w:hAnsi="Calibri"/>
                <w:color w:val="1F497D"/>
                <w:sz w:val="22"/>
                <w:szCs w:val="22"/>
              </w:rPr>
              <w:t> </w:t>
            </w:r>
          </w:p>
          <w:p w:rsidR="004402D3" w:rsidRPr="009E5E7B" w:rsidRDefault="004402D3" w:rsidP="004402D3">
            <w:pPr>
              <w:autoSpaceDE w:val="0"/>
              <w:autoSpaceDN w:val="0"/>
              <w:adjustRightInd w:val="0"/>
              <w:jc w:val="both"/>
              <w:rPr>
                <w:rFonts w:ascii="Arial" w:hAnsi="Arial" w:cs="Arial"/>
                <w:b/>
                <w:bCs/>
                <w:i/>
                <w:iCs/>
                <w:sz w:val="5"/>
                <w:szCs w:val="5"/>
                <w:lang w:val="en-ZA" w:eastAsia="en-ZA"/>
              </w:rPr>
            </w:pPr>
          </w:p>
          <w:p w:rsidR="004402D3" w:rsidRPr="009058BC" w:rsidRDefault="004402D3" w:rsidP="004402D3">
            <w:pPr>
              <w:jc w:val="both"/>
              <w:textAlignment w:val="top"/>
              <w:rPr>
                <w:rFonts w:ascii="Arial" w:hAnsi="Arial" w:cs="Arial"/>
                <w:b/>
                <w:sz w:val="22"/>
                <w:szCs w:val="22"/>
                <w:lang w:val="en-GB"/>
              </w:rPr>
            </w:pPr>
            <w:r w:rsidRPr="009058BC">
              <w:rPr>
                <w:rFonts w:ascii="Arial" w:hAnsi="Arial" w:cs="Arial"/>
                <w:b/>
                <w:sz w:val="22"/>
                <w:szCs w:val="22"/>
                <w:lang w:val="en-GB"/>
              </w:rPr>
              <w:t>Imran Vanker</w:t>
            </w:r>
          </w:p>
          <w:p w:rsidR="004402D3" w:rsidRPr="009058BC" w:rsidRDefault="004402D3" w:rsidP="004402D3">
            <w:pPr>
              <w:spacing w:after="120"/>
              <w:jc w:val="both"/>
              <w:rPr>
                <w:rFonts w:ascii="Arial" w:hAnsi="Arial" w:cs="Arial"/>
                <w:b/>
                <w:sz w:val="22"/>
                <w:szCs w:val="22"/>
                <w:lang w:val="en-GB"/>
              </w:rPr>
            </w:pPr>
            <w:r w:rsidRPr="009058BC">
              <w:rPr>
                <w:rFonts w:ascii="Arial" w:hAnsi="Arial" w:cs="Arial"/>
                <w:b/>
                <w:sz w:val="22"/>
                <w:szCs w:val="22"/>
                <w:lang w:val="en-GB"/>
              </w:rPr>
              <w:t>Director: Standards</w:t>
            </w:r>
          </w:p>
          <w:p w:rsidR="004402D3" w:rsidRDefault="004402D3" w:rsidP="004402D3">
            <w:pPr>
              <w:jc w:val="both"/>
            </w:pPr>
          </w:p>
          <w:p w:rsidR="004402D3" w:rsidRPr="009058BC" w:rsidRDefault="004402D3" w:rsidP="004402D3">
            <w:pPr>
              <w:spacing w:after="120"/>
              <w:jc w:val="both"/>
              <w:rPr>
                <w:rFonts w:ascii="Arial" w:hAnsi="Arial" w:cs="Arial"/>
                <w:b/>
                <w:i/>
                <w:noProof/>
                <w:sz w:val="20"/>
                <w:szCs w:val="20"/>
                <w:lang w:val="en-GB"/>
              </w:rPr>
            </w:pPr>
            <w:r w:rsidRPr="009058BC">
              <w:rPr>
                <w:rFonts w:ascii="Arial" w:hAnsi="Arial" w:cs="Arial"/>
                <w:b/>
                <w:i/>
                <w:noProof/>
                <w:sz w:val="20"/>
                <w:szCs w:val="20"/>
                <w:lang w:val="en-GB"/>
              </w:rPr>
              <w:t>About the IRBA</w:t>
            </w:r>
          </w:p>
          <w:p w:rsidR="004402D3" w:rsidRDefault="004402D3" w:rsidP="004402D3">
            <w:pPr>
              <w:spacing w:after="240" w:line="276" w:lineRule="auto"/>
              <w:jc w:val="both"/>
              <w:rPr>
                <w:rFonts w:ascii="Arial" w:hAnsi="Arial" w:cs="Arial"/>
                <w:sz w:val="20"/>
                <w:szCs w:val="20"/>
                <w:lang w:val="en-ZA"/>
              </w:rPr>
            </w:pPr>
            <w:r>
              <w:rPr>
                <w:rFonts w:ascii="Arial" w:hAnsi="Arial" w:cs="Arial"/>
                <w:i/>
                <w:iCs/>
                <w:sz w:val="20"/>
                <w:szCs w:val="20"/>
                <w:lang w:val="en-ZA"/>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4402D3" w:rsidRDefault="004402D3" w:rsidP="004402D3">
            <w:pPr>
              <w:jc w:val="both"/>
            </w:pPr>
            <w:r>
              <w:rPr>
                <w:rFonts w:ascii="Arial" w:hAnsi="Arial" w:cs="Arial"/>
                <w:i/>
                <w:iCs/>
                <w:sz w:val="20"/>
                <w:szCs w:val="20"/>
                <w:lang w:val="en-ZA"/>
              </w:rPr>
              <w:t>The statutory responsibilities of the CFAE are to assist the IRBA to determine what constitutes improper conduct by registered auditors by developing rules and guidelines for professional ethics, including a code of professional conduct; interact on any matter relating to its functions and powers with professional bodies and any other body or organ of state with an interest in the auditing profession; and provide advice to registered auditors on matters of professional ethics and conduct.</w:t>
            </w:r>
          </w:p>
        </w:tc>
      </w:tr>
    </w:tbl>
    <w:p w:rsidR="004402D3" w:rsidRDefault="004402D3"/>
    <w:sectPr w:rsidR="004402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Minion">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D66789"/>
    <w:multiLevelType w:val="multilevel"/>
    <w:tmpl w:val="DFD6A046"/>
    <w:lvl w:ilvl="0">
      <w:start w:val="1"/>
      <w:numFmt w:val="decimal"/>
      <w:lvlText w:val="%1."/>
      <w:lvlJc w:val="left"/>
      <w:pPr>
        <w:ind w:left="360" w:hanging="360"/>
      </w:pPr>
      <w:rPr>
        <w:rFonts w:hint="default"/>
      </w:rPr>
    </w:lvl>
    <w:lvl w:ilvl="1">
      <w:start w:val="1"/>
      <w:numFmt w:val="lowerLetter"/>
      <w:lvlText w:val="%2."/>
      <w:lvlJc w:val="left"/>
      <w:pPr>
        <w:ind w:left="357" w:hanging="357"/>
      </w:pPr>
      <w:rPr>
        <w:rFonts w:hint="default"/>
      </w:rPr>
    </w:lvl>
    <w:lvl w:ilvl="2">
      <w:start w:val="1"/>
      <w:numFmt w:val="lowerRoman"/>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2D3"/>
    <w:rsid w:val="004402D3"/>
    <w:rsid w:val="00472AC2"/>
    <w:rsid w:val="00861037"/>
    <w:rsid w:val="00904164"/>
    <w:rsid w:val="00B401D0"/>
    <w:rsid w:val="00C0422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BD677C-D657-4D15-AFF3-AD403B1C4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402D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402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402D3"/>
    <w:rPr>
      <w:strike w:val="0"/>
      <w:dstrike w:val="0"/>
      <w:color w:val="BD392D"/>
      <w:u w:val="single"/>
      <w:effect w:val="none"/>
    </w:rPr>
  </w:style>
  <w:style w:type="paragraph" w:customStyle="1" w:styleId="Default">
    <w:name w:val="Default"/>
    <w:uiPriority w:val="99"/>
    <w:rsid w:val="004402D3"/>
    <w:pPr>
      <w:autoSpaceDE w:val="0"/>
      <w:autoSpaceDN w:val="0"/>
      <w:adjustRightInd w:val="0"/>
      <w:spacing w:after="0" w:line="240" w:lineRule="auto"/>
    </w:pPr>
    <w:rPr>
      <w:rFonts w:ascii="Minion" w:eastAsia="Times New Roman" w:hAnsi="Minion" w:cs="Minion"/>
      <w:color w:val="000000"/>
      <w:sz w:val="24"/>
      <w:szCs w:val="24"/>
      <w:lang w:val="en-US"/>
    </w:rPr>
  </w:style>
  <w:style w:type="character" w:styleId="FollowedHyperlink">
    <w:name w:val="FollowedHyperlink"/>
    <w:basedOn w:val="DefaultParagraphFont"/>
    <w:uiPriority w:val="99"/>
    <w:semiHidden/>
    <w:unhideWhenUsed/>
    <w:rsid w:val="004402D3"/>
    <w:rPr>
      <w:color w:val="800080" w:themeColor="followedHyperlink"/>
      <w:u w:val="single"/>
    </w:rPr>
  </w:style>
  <w:style w:type="character" w:styleId="PlaceholderText">
    <w:name w:val="Placeholder Text"/>
    <w:basedOn w:val="DefaultParagraphFont"/>
    <w:uiPriority w:val="99"/>
    <w:semiHidden/>
    <w:rsid w:val="00C042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edicalschemes.com/Publications.aspx" TargetMode="External"/><Relationship Id="rId5" Type="http://schemas.openxmlformats.org/officeDocument/2006/relationships/hyperlink" Target="https://www.irba.co.za/upload/report_files/20161213011725_61.-PIE-Clarification.doc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743</Words>
  <Characters>4238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Fortuin</dc:creator>
  <cp:keywords/>
  <dc:description/>
  <cp:lastModifiedBy>Henriette Fortuin</cp:lastModifiedBy>
  <cp:revision>4</cp:revision>
  <dcterms:created xsi:type="dcterms:W3CDTF">2016-12-13T13:37:00Z</dcterms:created>
  <dcterms:modified xsi:type="dcterms:W3CDTF">2016-12-13T14:56:00Z</dcterms:modified>
</cp:coreProperties>
</file>