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3066E9" w14:paraId="7FE15898" w14:textId="77777777" w:rsidTr="003066E9">
        <w:tc>
          <w:tcPr>
            <w:tcW w:w="9962" w:type="dxa"/>
            <w:tcBorders>
              <w:top w:val="single" w:sz="4" w:space="0" w:color="auto"/>
              <w:left w:val="nil"/>
              <w:bottom w:val="single" w:sz="4" w:space="0" w:color="auto"/>
              <w:right w:val="nil"/>
            </w:tcBorders>
          </w:tcPr>
          <w:p w14:paraId="41CCABBB" w14:textId="77777777" w:rsidR="003066E9" w:rsidRPr="00F76271" w:rsidRDefault="003066E9" w:rsidP="003066E9">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6C687F1C" w14:textId="639273A8" w:rsidR="003066E9" w:rsidRPr="003066E9" w:rsidRDefault="003066E9" w:rsidP="003066E9">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C</w:t>
            </w:r>
            <w:r w:rsidR="00953635">
              <w:rPr>
                <w:rFonts w:ascii="Arial" w:hAnsi="Arial" w:cs="Arial"/>
                <w:b/>
                <w:bCs/>
                <w:color w:val="000000"/>
                <w:lang w:val="en-GB"/>
              </w:rPr>
              <w:t>OMMITTEE FOR AUDITING STANDARDS</w:t>
            </w:r>
          </w:p>
        </w:tc>
      </w:tr>
    </w:tbl>
    <w:p w14:paraId="39052205" w14:textId="0310B024" w:rsidR="003066E9" w:rsidRDefault="003066E9">
      <w:pPr>
        <w:rPr>
          <w:rFonts w:ascii="Arial" w:hAnsi="Arial" w:cs="Arial"/>
        </w:rPr>
      </w:pPr>
    </w:p>
    <w:tbl>
      <w:tblPr>
        <w:tblStyle w:val="TableGrid"/>
        <w:tblW w:w="0" w:type="auto"/>
        <w:tblLook w:val="04A0" w:firstRow="1" w:lastRow="0" w:firstColumn="1" w:lastColumn="0" w:noHBand="0" w:noVBand="1"/>
      </w:tblPr>
      <w:tblGrid>
        <w:gridCol w:w="9746"/>
      </w:tblGrid>
      <w:tr w:rsidR="003066E9" w14:paraId="514D11CA" w14:textId="77777777" w:rsidTr="003066E9">
        <w:tc>
          <w:tcPr>
            <w:tcW w:w="9962" w:type="dxa"/>
            <w:tcBorders>
              <w:top w:val="nil"/>
              <w:left w:val="nil"/>
              <w:bottom w:val="nil"/>
              <w:right w:val="nil"/>
            </w:tcBorders>
          </w:tcPr>
          <w:p w14:paraId="50337212" w14:textId="77777777" w:rsidR="003066E9" w:rsidRDefault="003066E9" w:rsidP="003066E9">
            <w:pPr>
              <w:spacing w:after="120"/>
              <w:jc w:val="center"/>
              <w:rPr>
                <w:rFonts w:ascii="Arial" w:hAnsi="Arial" w:cs="Arial"/>
                <w:b/>
                <w:i/>
                <w:sz w:val="22"/>
                <w:szCs w:val="22"/>
              </w:rPr>
            </w:pPr>
            <w:r>
              <w:rPr>
                <w:rFonts w:ascii="Arial" w:hAnsi="Arial" w:cs="Arial"/>
                <w:b/>
                <w:i/>
                <w:sz w:val="22"/>
                <w:szCs w:val="22"/>
              </w:rPr>
              <w:t>REMINDER:</w:t>
            </w:r>
          </w:p>
          <w:p w14:paraId="60ABF554" w14:textId="37107252" w:rsidR="003066E9" w:rsidRDefault="003066E9" w:rsidP="003066E9">
            <w:pPr>
              <w:spacing w:before="120" w:after="120"/>
              <w:jc w:val="center"/>
              <w:rPr>
                <w:rFonts w:ascii="Arial" w:hAnsi="Arial" w:cs="Arial"/>
                <w:b/>
                <w:i/>
                <w:sz w:val="22"/>
                <w:szCs w:val="22"/>
              </w:rPr>
            </w:pPr>
            <w:r w:rsidRPr="00F42EE8">
              <w:rPr>
                <w:rFonts w:ascii="Arial" w:hAnsi="Arial" w:cs="Arial"/>
                <w:b/>
                <w:i/>
                <w:sz w:val="22"/>
                <w:szCs w:val="22"/>
              </w:rPr>
              <w:t>Standards</w:t>
            </w:r>
            <w:r>
              <w:rPr>
                <w:rFonts w:ascii="Arial" w:hAnsi="Arial" w:cs="Arial"/>
                <w:b/>
                <w:i/>
                <w:sz w:val="22"/>
                <w:szCs w:val="22"/>
              </w:rPr>
              <w:t>-related communiques issued in 2016 with submissions due in 2017</w:t>
            </w:r>
          </w:p>
          <w:p w14:paraId="3FEF7AB9" w14:textId="77777777" w:rsidR="003066E9" w:rsidRPr="00F76271" w:rsidRDefault="003066E9" w:rsidP="003066E9">
            <w:pPr>
              <w:spacing w:before="120" w:after="120"/>
              <w:jc w:val="center"/>
              <w:rPr>
                <w:rFonts w:ascii="Arial" w:hAnsi="Arial" w:cs="Arial"/>
                <w:sz w:val="22"/>
                <w:szCs w:val="22"/>
                <w:lang w:val="en-GB"/>
              </w:rPr>
            </w:pPr>
            <w:r>
              <w:rPr>
                <w:rFonts w:ascii="Arial" w:hAnsi="Arial" w:cs="Arial"/>
                <w:sz w:val="22"/>
                <w:szCs w:val="22"/>
                <w:lang w:val="en-GB"/>
              </w:rPr>
              <w:t>Johannesburg / 13 January 2017</w:t>
            </w:r>
            <w:bookmarkStart w:id="0" w:name="_GoBack"/>
            <w:bookmarkEnd w:id="0"/>
          </w:p>
          <w:p w14:paraId="01CB70A9" w14:textId="77777777" w:rsidR="003066E9" w:rsidRPr="00B21992" w:rsidRDefault="003066E9" w:rsidP="003066E9">
            <w:pPr>
              <w:pStyle w:val="NormalWeb"/>
              <w:spacing w:before="0" w:beforeAutospacing="0" w:after="120" w:afterAutospacing="0"/>
              <w:jc w:val="both"/>
              <w:rPr>
                <w:rFonts w:ascii="Arial" w:hAnsi="Arial" w:cs="Arial"/>
                <w:sz w:val="22"/>
                <w:szCs w:val="22"/>
                <w:lang w:val="en-GB"/>
              </w:rPr>
            </w:pPr>
          </w:p>
          <w:p w14:paraId="74ADB3B8" w14:textId="77777777" w:rsidR="003066E9" w:rsidRPr="009A4EED" w:rsidRDefault="003066E9" w:rsidP="003066E9">
            <w:pPr>
              <w:pStyle w:val="NormalWeb"/>
              <w:spacing w:before="0" w:beforeAutospacing="0" w:after="120" w:afterAutospacing="0"/>
              <w:jc w:val="both"/>
              <w:rPr>
                <w:rFonts w:ascii="Arial" w:hAnsi="Arial" w:cs="Arial"/>
                <w:sz w:val="22"/>
                <w:szCs w:val="22"/>
              </w:rPr>
            </w:pPr>
            <w:r>
              <w:rPr>
                <w:rFonts w:ascii="Arial" w:hAnsi="Arial" w:cs="Arial"/>
                <w:sz w:val="22"/>
                <w:szCs w:val="22"/>
              </w:rPr>
              <w:t>Registered auditors and others are reminded that the following communiques, which were issued in 2016, have 2017 closing dates for the submission of comments and/or responses</w:t>
            </w:r>
            <w:r w:rsidRPr="009A4EED">
              <w:rPr>
                <w:rFonts w:ascii="Arial" w:hAnsi="Arial" w:cs="Arial"/>
                <w:sz w:val="22"/>
                <w:szCs w:val="22"/>
              </w:rPr>
              <w:t>:</w:t>
            </w:r>
          </w:p>
          <w:tbl>
            <w:tblPr>
              <w:tblStyle w:val="TableGrid"/>
              <w:tblW w:w="0" w:type="auto"/>
              <w:tblLook w:val="04A0" w:firstRow="1" w:lastRow="0" w:firstColumn="1" w:lastColumn="0" w:noHBand="0" w:noVBand="1"/>
            </w:tblPr>
            <w:tblGrid>
              <w:gridCol w:w="5645"/>
              <w:gridCol w:w="3875"/>
            </w:tblGrid>
            <w:tr w:rsidR="003066E9" w:rsidRPr="00AF2121" w14:paraId="7B2D359B" w14:textId="77777777" w:rsidTr="00BD4CE2">
              <w:trPr>
                <w:trHeight w:val="383"/>
              </w:trPr>
              <w:tc>
                <w:tcPr>
                  <w:tcW w:w="5920" w:type="dxa"/>
                  <w:shd w:val="clear" w:color="auto" w:fill="BFBFBF" w:themeFill="background1" w:themeFillShade="BF"/>
                  <w:vAlign w:val="center"/>
                </w:tcPr>
                <w:p w14:paraId="46D4A01E" w14:textId="77777777" w:rsidR="003066E9" w:rsidRPr="00AF2121" w:rsidRDefault="003066E9" w:rsidP="003066E9">
                  <w:pPr>
                    <w:spacing w:line="276" w:lineRule="auto"/>
                    <w:rPr>
                      <w:rFonts w:ascii="Arial" w:hAnsi="Arial" w:cs="Arial"/>
                      <w:b/>
                      <w:sz w:val="22"/>
                      <w:szCs w:val="22"/>
                    </w:rPr>
                  </w:pPr>
                  <w:r w:rsidRPr="00AF2121">
                    <w:rPr>
                      <w:rFonts w:ascii="Arial" w:hAnsi="Arial" w:cs="Arial"/>
                      <w:b/>
                      <w:sz w:val="22"/>
                      <w:szCs w:val="22"/>
                    </w:rPr>
                    <w:t>Communique</w:t>
                  </w:r>
                </w:p>
              </w:tc>
              <w:tc>
                <w:tcPr>
                  <w:tcW w:w="4042" w:type="dxa"/>
                  <w:shd w:val="clear" w:color="auto" w:fill="BFBFBF" w:themeFill="background1" w:themeFillShade="BF"/>
                  <w:vAlign w:val="center"/>
                </w:tcPr>
                <w:p w14:paraId="660F7CA2" w14:textId="77777777" w:rsidR="003066E9" w:rsidRPr="00AF2121" w:rsidRDefault="003066E9" w:rsidP="003066E9">
                  <w:pPr>
                    <w:spacing w:line="276" w:lineRule="auto"/>
                    <w:rPr>
                      <w:rFonts w:ascii="Arial" w:hAnsi="Arial" w:cs="Arial"/>
                      <w:b/>
                      <w:sz w:val="22"/>
                      <w:szCs w:val="22"/>
                    </w:rPr>
                  </w:pPr>
                  <w:r w:rsidRPr="00AF2121">
                    <w:rPr>
                      <w:rFonts w:ascii="Arial" w:hAnsi="Arial" w:cs="Arial"/>
                      <w:b/>
                      <w:sz w:val="22"/>
                      <w:szCs w:val="22"/>
                    </w:rPr>
                    <w:t>IRBA closing date for submission</w:t>
                  </w:r>
                </w:p>
              </w:tc>
            </w:tr>
            <w:tr w:rsidR="003066E9" w:rsidRPr="00AF2121" w14:paraId="33588B0F" w14:textId="77777777" w:rsidTr="00BD4CE2">
              <w:tc>
                <w:tcPr>
                  <w:tcW w:w="5920" w:type="dxa"/>
                </w:tcPr>
                <w:p w14:paraId="106E6496" w14:textId="77777777" w:rsidR="003066E9" w:rsidRPr="00AF2121" w:rsidRDefault="003066E9" w:rsidP="003066E9">
                  <w:pPr>
                    <w:spacing w:line="276" w:lineRule="auto"/>
                    <w:rPr>
                      <w:rFonts w:ascii="Arial" w:hAnsi="Arial" w:cs="Arial"/>
                      <w:sz w:val="22"/>
                      <w:szCs w:val="22"/>
                    </w:rPr>
                  </w:pPr>
                  <w:r w:rsidRPr="00AF2121">
                    <w:rPr>
                      <w:rFonts w:ascii="Arial" w:hAnsi="Arial" w:cs="Arial"/>
                      <w:sz w:val="22"/>
                      <w:szCs w:val="22"/>
                    </w:rPr>
                    <w:t>Call for the Nomination of Members to Serve on the Committee for Auditor Ethics</w:t>
                  </w:r>
                </w:p>
              </w:tc>
              <w:tc>
                <w:tcPr>
                  <w:tcW w:w="4042" w:type="dxa"/>
                </w:tcPr>
                <w:p w14:paraId="761589E8" w14:textId="77777777" w:rsidR="003066E9" w:rsidRPr="00AF2121" w:rsidRDefault="003066E9" w:rsidP="003066E9">
                  <w:pPr>
                    <w:spacing w:line="276" w:lineRule="auto"/>
                    <w:rPr>
                      <w:rFonts w:ascii="Arial" w:hAnsi="Arial" w:cs="Arial"/>
                      <w:sz w:val="22"/>
                      <w:szCs w:val="22"/>
                    </w:rPr>
                  </w:pPr>
                  <w:r w:rsidRPr="00AF2121">
                    <w:rPr>
                      <w:rFonts w:ascii="Arial" w:hAnsi="Arial" w:cs="Arial"/>
                      <w:sz w:val="22"/>
                      <w:szCs w:val="22"/>
                    </w:rPr>
                    <w:t>15 January 2017</w:t>
                  </w:r>
                </w:p>
              </w:tc>
            </w:tr>
            <w:tr w:rsidR="003066E9" w:rsidRPr="00AF2121" w14:paraId="68C75F47" w14:textId="77777777" w:rsidTr="00BD4CE2">
              <w:tc>
                <w:tcPr>
                  <w:tcW w:w="5920" w:type="dxa"/>
                </w:tcPr>
                <w:p w14:paraId="66DB8900" w14:textId="77777777" w:rsidR="003066E9" w:rsidRPr="00AF2121" w:rsidRDefault="003066E9" w:rsidP="003066E9">
                  <w:pPr>
                    <w:spacing w:line="276" w:lineRule="auto"/>
                    <w:rPr>
                      <w:rFonts w:ascii="Arial" w:hAnsi="Arial" w:cs="Arial"/>
                      <w:sz w:val="22"/>
                      <w:szCs w:val="22"/>
                    </w:rPr>
                  </w:pPr>
                  <w:r w:rsidRPr="00C10580">
                    <w:rPr>
                      <w:rFonts w:ascii="Arial" w:hAnsi="Arial" w:cs="Arial"/>
                      <w:sz w:val="22"/>
                      <w:szCs w:val="22"/>
                    </w:rPr>
                    <w:t>IAASB Releases Working Group Paper on Supporting Credibility and Trust in Emerging Forms of External Reporting</w:t>
                  </w:r>
                </w:p>
              </w:tc>
              <w:tc>
                <w:tcPr>
                  <w:tcW w:w="4042" w:type="dxa"/>
                </w:tcPr>
                <w:p w14:paraId="0F23BAF1" w14:textId="77777777" w:rsidR="003066E9" w:rsidRPr="00AF2121" w:rsidRDefault="003066E9" w:rsidP="003066E9">
                  <w:pPr>
                    <w:spacing w:line="276" w:lineRule="auto"/>
                    <w:rPr>
                      <w:rFonts w:ascii="Arial" w:hAnsi="Arial" w:cs="Arial"/>
                      <w:sz w:val="22"/>
                      <w:szCs w:val="22"/>
                    </w:rPr>
                  </w:pPr>
                  <w:r>
                    <w:rPr>
                      <w:rFonts w:ascii="Arial" w:hAnsi="Arial" w:cs="Arial"/>
                      <w:sz w:val="22"/>
                      <w:szCs w:val="22"/>
                    </w:rPr>
                    <w:t xml:space="preserve">20 </w:t>
                  </w:r>
                  <w:r w:rsidRPr="00AF2121">
                    <w:rPr>
                      <w:rFonts w:ascii="Arial" w:hAnsi="Arial" w:cs="Arial"/>
                      <w:sz w:val="22"/>
                      <w:szCs w:val="22"/>
                    </w:rPr>
                    <w:t>January 2017</w:t>
                  </w:r>
                </w:p>
              </w:tc>
            </w:tr>
            <w:tr w:rsidR="003066E9" w:rsidRPr="00AF2121" w14:paraId="754CF898" w14:textId="77777777" w:rsidTr="00BD4CE2">
              <w:tc>
                <w:tcPr>
                  <w:tcW w:w="5920" w:type="dxa"/>
                </w:tcPr>
                <w:p w14:paraId="439F1BAE" w14:textId="1DAB9E3B" w:rsidR="003066E9" w:rsidRPr="00AF2121" w:rsidRDefault="003066E9" w:rsidP="00953635">
                  <w:pPr>
                    <w:spacing w:line="276" w:lineRule="auto"/>
                    <w:rPr>
                      <w:rFonts w:ascii="Arial" w:hAnsi="Arial" w:cs="Arial"/>
                      <w:sz w:val="22"/>
                      <w:szCs w:val="22"/>
                    </w:rPr>
                  </w:pPr>
                  <w:r w:rsidRPr="00AF2121">
                    <w:rPr>
                      <w:rFonts w:ascii="Arial" w:hAnsi="Arial" w:cs="Arial"/>
                      <w:sz w:val="22"/>
                      <w:szCs w:val="22"/>
                    </w:rPr>
                    <w:t>Proposed Revised Guide for Registered Auditors:</w:t>
                  </w:r>
                  <w:r>
                    <w:rPr>
                      <w:rFonts w:ascii="Arial" w:hAnsi="Arial" w:cs="Arial"/>
                      <w:sz w:val="22"/>
                      <w:szCs w:val="22"/>
                    </w:rPr>
                    <w:t xml:space="preserve"> </w:t>
                  </w:r>
                  <w:r w:rsidRPr="00AF2121">
                    <w:rPr>
                      <w:rFonts w:ascii="Arial" w:hAnsi="Arial" w:cs="Arial"/>
                      <w:sz w:val="22"/>
                      <w:szCs w:val="22"/>
                    </w:rPr>
                    <w:t>Engagements on Attorneys</w:t>
                  </w:r>
                  <w:r w:rsidR="00953635">
                    <w:rPr>
                      <w:rFonts w:ascii="Arial" w:hAnsi="Arial" w:cs="Arial"/>
                      <w:sz w:val="22"/>
                      <w:szCs w:val="22"/>
                    </w:rPr>
                    <w:t>'</w:t>
                  </w:r>
                  <w:r w:rsidRPr="00AF2121">
                    <w:rPr>
                      <w:rFonts w:ascii="Arial" w:hAnsi="Arial" w:cs="Arial"/>
                      <w:sz w:val="22"/>
                      <w:szCs w:val="22"/>
                    </w:rPr>
                    <w:t xml:space="preserve"> Trust Accounts</w:t>
                  </w:r>
                </w:p>
              </w:tc>
              <w:tc>
                <w:tcPr>
                  <w:tcW w:w="4042" w:type="dxa"/>
                </w:tcPr>
                <w:p w14:paraId="49F5C9D6" w14:textId="77777777" w:rsidR="003066E9" w:rsidRPr="00AF2121" w:rsidRDefault="003066E9" w:rsidP="003066E9">
                  <w:pPr>
                    <w:spacing w:line="276" w:lineRule="auto"/>
                    <w:rPr>
                      <w:rFonts w:ascii="Arial" w:hAnsi="Arial" w:cs="Arial"/>
                      <w:sz w:val="22"/>
                      <w:szCs w:val="22"/>
                    </w:rPr>
                  </w:pPr>
                  <w:r w:rsidRPr="00AF2121">
                    <w:rPr>
                      <w:rFonts w:ascii="Arial" w:hAnsi="Arial" w:cs="Arial"/>
                      <w:sz w:val="22"/>
                      <w:szCs w:val="22"/>
                    </w:rPr>
                    <w:t>31 January 2017</w:t>
                  </w:r>
                </w:p>
              </w:tc>
            </w:tr>
            <w:tr w:rsidR="003066E9" w:rsidRPr="00AF2121" w14:paraId="6459BC13" w14:textId="77777777" w:rsidTr="00BD4CE2">
              <w:tc>
                <w:tcPr>
                  <w:tcW w:w="5920" w:type="dxa"/>
                </w:tcPr>
                <w:p w14:paraId="24E9E7F7" w14:textId="77777777" w:rsidR="003066E9" w:rsidRPr="00AF2121" w:rsidRDefault="003066E9" w:rsidP="003066E9">
                  <w:pPr>
                    <w:spacing w:line="276" w:lineRule="auto"/>
                    <w:rPr>
                      <w:rFonts w:ascii="Arial" w:hAnsi="Arial" w:cs="Arial"/>
                      <w:sz w:val="22"/>
                      <w:szCs w:val="22"/>
                    </w:rPr>
                  </w:pPr>
                  <w:r w:rsidRPr="00AF2121">
                    <w:rPr>
                      <w:rFonts w:ascii="Arial" w:hAnsi="Arial" w:cs="Arial"/>
                      <w:sz w:val="22"/>
                      <w:szCs w:val="22"/>
                    </w:rPr>
                    <w:t>IAASB Working Group Seeks Input on the Growing Use of Data Analytics in the Audit</w:t>
                  </w:r>
                </w:p>
              </w:tc>
              <w:tc>
                <w:tcPr>
                  <w:tcW w:w="4042" w:type="dxa"/>
                </w:tcPr>
                <w:p w14:paraId="3C74B53D" w14:textId="77777777" w:rsidR="003066E9" w:rsidRPr="00AF2121" w:rsidRDefault="003066E9" w:rsidP="003066E9">
                  <w:pPr>
                    <w:spacing w:line="276" w:lineRule="auto"/>
                    <w:rPr>
                      <w:rFonts w:ascii="Arial" w:hAnsi="Arial" w:cs="Arial"/>
                      <w:sz w:val="22"/>
                      <w:szCs w:val="22"/>
                    </w:rPr>
                  </w:pPr>
                  <w:r w:rsidRPr="00AF2121">
                    <w:rPr>
                      <w:rFonts w:ascii="Arial" w:hAnsi="Arial" w:cs="Arial"/>
                      <w:sz w:val="22"/>
                      <w:szCs w:val="22"/>
                    </w:rPr>
                    <w:t>1 February 2017</w:t>
                  </w:r>
                </w:p>
              </w:tc>
            </w:tr>
            <w:tr w:rsidR="003066E9" w:rsidRPr="00AF2121" w14:paraId="5585BEB1" w14:textId="77777777" w:rsidTr="00BD4CE2">
              <w:tc>
                <w:tcPr>
                  <w:tcW w:w="5920" w:type="dxa"/>
                </w:tcPr>
                <w:p w14:paraId="619119B7" w14:textId="074E1C06" w:rsidR="003066E9" w:rsidRPr="00AF2121" w:rsidRDefault="003066E9" w:rsidP="00953635">
                  <w:pPr>
                    <w:spacing w:line="276" w:lineRule="auto"/>
                    <w:rPr>
                      <w:rFonts w:ascii="Arial" w:hAnsi="Arial" w:cs="Arial"/>
                      <w:sz w:val="22"/>
                      <w:szCs w:val="22"/>
                    </w:rPr>
                  </w:pPr>
                  <w:r w:rsidRPr="00AF2121">
                    <w:rPr>
                      <w:rFonts w:ascii="Arial" w:hAnsi="Arial" w:cs="Arial"/>
                      <w:sz w:val="22"/>
                      <w:szCs w:val="22"/>
                    </w:rPr>
                    <w:t>Discussion Paper:</w:t>
                  </w:r>
                  <w:r>
                    <w:rPr>
                      <w:rFonts w:ascii="Arial" w:hAnsi="Arial" w:cs="Arial"/>
                      <w:sz w:val="22"/>
                      <w:szCs w:val="22"/>
                    </w:rPr>
                    <w:t xml:space="preserve"> </w:t>
                  </w:r>
                  <w:r w:rsidRPr="00AF2121">
                    <w:rPr>
                      <w:rFonts w:ascii="Arial" w:hAnsi="Arial" w:cs="Arial"/>
                      <w:sz w:val="22"/>
                      <w:szCs w:val="22"/>
                    </w:rPr>
                    <w:t>Exploring the Demand for Agreed-Upon Procedures Engagements and Other Services, and the Implications for the IAASB</w:t>
                  </w:r>
                  <w:r w:rsidR="00953635">
                    <w:rPr>
                      <w:rFonts w:ascii="Arial" w:hAnsi="Arial" w:cs="Arial"/>
                      <w:sz w:val="22"/>
                      <w:szCs w:val="22"/>
                    </w:rPr>
                    <w:t>'</w:t>
                  </w:r>
                  <w:r w:rsidRPr="00AF2121">
                    <w:rPr>
                      <w:rFonts w:ascii="Arial" w:hAnsi="Arial" w:cs="Arial"/>
                      <w:sz w:val="22"/>
                      <w:szCs w:val="22"/>
                    </w:rPr>
                    <w:t>s International Standards</w:t>
                  </w:r>
                </w:p>
              </w:tc>
              <w:tc>
                <w:tcPr>
                  <w:tcW w:w="4042" w:type="dxa"/>
                </w:tcPr>
                <w:p w14:paraId="16946224" w14:textId="77777777" w:rsidR="003066E9" w:rsidRPr="00AF2121" w:rsidRDefault="003066E9" w:rsidP="003066E9">
                  <w:pPr>
                    <w:spacing w:line="276" w:lineRule="auto"/>
                    <w:rPr>
                      <w:rFonts w:ascii="Arial" w:hAnsi="Arial" w:cs="Arial"/>
                      <w:sz w:val="22"/>
                      <w:szCs w:val="22"/>
                    </w:rPr>
                  </w:pPr>
                  <w:r w:rsidRPr="00AF2121">
                    <w:rPr>
                      <w:rFonts w:ascii="Arial" w:hAnsi="Arial" w:cs="Arial"/>
                      <w:sz w:val="22"/>
                      <w:szCs w:val="22"/>
                    </w:rPr>
                    <w:t>15 March 2017</w:t>
                  </w:r>
                </w:p>
              </w:tc>
            </w:tr>
          </w:tbl>
          <w:p w14:paraId="06F16E50" w14:textId="77777777" w:rsidR="003066E9" w:rsidRDefault="003066E9" w:rsidP="003066E9">
            <w:pPr>
              <w:pStyle w:val="NormalWeb"/>
              <w:spacing w:before="0" w:beforeAutospacing="0" w:after="120" w:afterAutospacing="0"/>
              <w:jc w:val="both"/>
              <w:rPr>
                <w:rFonts w:ascii="Arial" w:hAnsi="Arial" w:cs="Arial"/>
                <w:sz w:val="22"/>
                <w:szCs w:val="22"/>
              </w:rPr>
            </w:pPr>
          </w:p>
          <w:p w14:paraId="772196A7" w14:textId="77777777" w:rsidR="003066E9" w:rsidRPr="00F76271" w:rsidRDefault="003066E9" w:rsidP="003066E9">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6"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5E9D6938" w14:textId="77777777" w:rsidR="003066E9" w:rsidRPr="009A4EED" w:rsidRDefault="003066E9" w:rsidP="003066E9">
            <w:pPr>
              <w:pStyle w:val="NormalWeb"/>
              <w:spacing w:before="0" w:beforeAutospacing="0" w:after="120" w:afterAutospacing="0"/>
              <w:jc w:val="both"/>
              <w:rPr>
                <w:rFonts w:ascii="Arial" w:hAnsi="Arial" w:cs="Arial"/>
                <w:sz w:val="22"/>
                <w:szCs w:val="22"/>
              </w:rPr>
            </w:pPr>
          </w:p>
          <w:p w14:paraId="57DA808E" w14:textId="77777777" w:rsidR="003066E9" w:rsidRPr="009A4EED" w:rsidRDefault="003066E9" w:rsidP="003066E9">
            <w:pPr>
              <w:pStyle w:val="NormalWeb"/>
              <w:spacing w:before="0" w:beforeAutospacing="0" w:after="120" w:afterAutospacing="0"/>
              <w:jc w:val="both"/>
              <w:rPr>
                <w:rFonts w:ascii="Arial" w:hAnsi="Arial" w:cs="Arial"/>
                <w:sz w:val="22"/>
                <w:szCs w:val="22"/>
              </w:rPr>
            </w:pPr>
          </w:p>
          <w:p w14:paraId="7482A10C" w14:textId="77777777" w:rsidR="003066E9" w:rsidRPr="00F76271" w:rsidRDefault="003066E9" w:rsidP="003066E9">
            <w:pPr>
              <w:jc w:val="both"/>
              <w:textAlignment w:val="top"/>
              <w:rPr>
                <w:rFonts w:ascii="Arial" w:hAnsi="Arial" w:cs="Arial"/>
                <w:b/>
                <w:sz w:val="22"/>
                <w:szCs w:val="22"/>
                <w:lang w:val="en-GB"/>
              </w:rPr>
            </w:pPr>
          </w:p>
          <w:p w14:paraId="526944EA" w14:textId="77777777" w:rsidR="003066E9" w:rsidRPr="00F76271" w:rsidRDefault="003066E9" w:rsidP="003066E9">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2B85B314" w14:textId="77777777" w:rsidR="003066E9" w:rsidRPr="00F76271" w:rsidRDefault="003066E9" w:rsidP="003066E9">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4333D996" w14:textId="77777777" w:rsidR="003066E9" w:rsidRPr="00F76271" w:rsidRDefault="003066E9" w:rsidP="003066E9">
            <w:pPr>
              <w:spacing w:after="120"/>
              <w:jc w:val="both"/>
              <w:rPr>
                <w:rFonts w:ascii="Arial" w:hAnsi="Arial" w:cs="Arial"/>
                <w:b/>
                <w:i/>
                <w:noProof/>
                <w:sz w:val="20"/>
                <w:szCs w:val="20"/>
                <w:lang w:val="en-GB"/>
              </w:rPr>
            </w:pPr>
          </w:p>
          <w:p w14:paraId="372F28BC" w14:textId="77777777" w:rsidR="003066E9" w:rsidRPr="003F3563" w:rsidRDefault="003066E9" w:rsidP="003066E9">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273A7496" w14:textId="77777777" w:rsidR="003066E9" w:rsidRPr="003F3563" w:rsidRDefault="003066E9" w:rsidP="003066E9">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64DB6F63" w14:textId="0897727E" w:rsidR="003066E9" w:rsidRDefault="003066E9" w:rsidP="003066E9">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3241FE5D" w14:textId="77777777" w:rsidR="003066E9" w:rsidRDefault="003066E9">
      <w:pPr>
        <w:rPr>
          <w:rFonts w:ascii="Arial" w:hAnsi="Arial" w:cs="Arial"/>
        </w:rPr>
      </w:pPr>
    </w:p>
    <w:p w14:paraId="6266D4C2" w14:textId="77777777" w:rsidR="003066E9" w:rsidRPr="00F76271" w:rsidRDefault="003066E9">
      <w:pPr>
        <w:rPr>
          <w:rFonts w:ascii="Arial" w:hAnsi="Arial" w:cs="Arial"/>
        </w:rPr>
      </w:pPr>
    </w:p>
    <w:p w14:paraId="115B3D51" w14:textId="28C60826"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40D50"/>
    <w:multiLevelType w:val="hybridMultilevel"/>
    <w:tmpl w:val="B12093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411C18F2"/>
    <w:multiLevelType w:val="multilevel"/>
    <w:tmpl w:val="83B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7286A"/>
    <w:rsid w:val="000954E0"/>
    <w:rsid w:val="000C396D"/>
    <w:rsid w:val="000D079D"/>
    <w:rsid w:val="000E505F"/>
    <w:rsid w:val="001B0AAE"/>
    <w:rsid w:val="001C5EA9"/>
    <w:rsid w:val="002475AA"/>
    <w:rsid w:val="00287884"/>
    <w:rsid w:val="002A66DA"/>
    <w:rsid w:val="003066E9"/>
    <w:rsid w:val="003706C5"/>
    <w:rsid w:val="003B3B87"/>
    <w:rsid w:val="003F3563"/>
    <w:rsid w:val="00417944"/>
    <w:rsid w:val="00493E6F"/>
    <w:rsid w:val="0050407B"/>
    <w:rsid w:val="00513971"/>
    <w:rsid w:val="0063111F"/>
    <w:rsid w:val="006A2A11"/>
    <w:rsid w:val="00742F42"/>
    <w:rsid w:val="007625AA"/>
    <w:rsid w:val="00794A42"/>
    <w:rsid w:val="007D6775"/>
    <w:rsid w:val="00816425"/>
    <w:rsid w:val="00830FCD"/>
    <w:rsid w:val="0084262E"/>
    <w:rsid w:val="0086580B"/>
    <w:rsid w:val="008762D7"/>
    <w:rsid w:val="008D1B23"/>
    <w:rsid w:val="009413CF"/>
    <w:rsid w:val="00953635"/>
    <w:rsid w:val="00980EE5"/>
    <w:rsid w:val="00981C35"/>
    <w:rsid w:val="009A4EED"/>
    <w:rsid w:val="009D7B9B"/>
    <w:rsid w:val="00AF2121"/>
    <w:rsid w:val="00B20317"/>
    <w:rsid w:val="00B21992"/>
    <w:rsid w:val="00B4539C"/>
    <w:rsid w:val="00B66D7B"/>
    <w:rsid w:val="00C10580"/>
    <w:rsid w:val="00D308A9"/>
    <w:rsid w:val="00D3370F"/>
    <w:rsid w:val="00D51256"/>
    <w:rsid w:val="00D9728A"/>
    <w:rsid w:val="00E41343"/>
    <w:rsid w:val="00EB1ED9"/>
    <w:rsid w:val="00EF7368"/>
    <w:rsid w:val="00F0765D"/>
    <w:rsid w:val="00F210C7"/>
    <w:rsid w:val="00F42EE8"/>
    <w:rsid w:val="00F76271"/>
    <w:rsid w:val="00F831E8"/>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DDAF"/>
  <w15:docId w15:val="{C10BB431-2DBA-4B0E-B820-D4B23387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Strong">
    <w:name w:val="Strong"/>
    <w:basedOn w:val="DefaultParagraphFont"/>
    <w:uiPriority w:val="22"/>
    <w:qFormat/>
    <w:rsid w:val="009A4EED"/>
    <w:rPr>
      <w:b/>
      <w:bCs/>
    </w:rPr>
  </w:style>
  <w:style w:type="character" w:styleId="Emphasis">
    <w:name w:val="Emphasis"/>
    <w:basedOn w:val="DefaultParagraphFont"/>
    <w:uiPriority w:val="20"/>
    <w:qFormat/>
    <w:rsid w:val="009A4EED"/>
    <w:rPr>
      <w:i/>
      <w:iCs/>
    </w:rPr>
  </w:style>
  <w:style w:type="character" w:customStyle="1" w:styleId="apple-converted-space">
    <w:name w:val="apple-converted-space"/>
    <w:basedOn w:val="DefaultParagraphFont"/>
    <w:rsid w:val="001C5EA9"/>
  </w:style>
  <w:style w:type="character" w:styleId="CommentReference">
    <w:name w:val="annotation reference"/>
    <w:basedOn w:val="DefaultParagraphFont"/>
    <w:uiPriority w:val="99"/>
    <w:semiHidden/>
    <w:unhideWhenUsed/>
    <w:rsid w:val="00B4539C"/>
    <w:rPr>
      <w:sz w:val="16"/>
      <w:szCs w:val="16"/>
    </w:rPr>
  </w:style>
  <w:style w:type="paragraph" w:styleId="CommentText">
    <w:name w:val="annotation text"/>
    <w:basedOn w:val="Normal"/>
    <w:link w:val="CommentTextChar"/>
    <w:uiPriority w:val="99"/>
    <w:semiHidden/>
    <w:unhideWhenUsed/>
    <w:rsid w:val="00B4539C"/>
    <w:rPr>
      <w:sz w:val="20"/>
      <w:szCs w:val="20"/>
    </w:rPr>
  </w:style>
  <w:style w:type="character" w:customStyle="1" w:styleId="CommentTextChar">
    <w:name w:val="Comment Text Char"/>
    <w:basedOn w:val="DefaultParagraphFont"/>
    <w:link w:val="CommentText"/>
    <w:uiPriority w:val="99"/>
    <w:semiHidden/>
    <w:rsid w:val="00B453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539C"/>
    <w:rPr>
      <w:b/>
      <w:bCs/>
    </w:rPr>
  </w:style>
  <w:style w:type="character" w:customStyle="1" w:styleId="CommentSubjectChar">
    <w:name w:val="Comment Subject Char"/>
    <w:basedOn w:val="CommentTextChar"/>
    <w:link w:val="CommentSubject"/>
    <w:uiPriority w:val="99"/>
    <w:semiHidden/>
    <w:rsid w:val="00B4539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45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9C"/>
    <w:rPr>
      <w:rFonts w:ascii="Segoe UI" w:eastAsia="Times New Roman" w:hAnsi="Segoe UI" w:cs="Segoe UI"/>
      <w:sz w:val="18"/>
      <w:szCs w:val="18"/>
      <w:lang w:val="en-US"/>
    </w:rPr>
  </w:style>
  <w:style w:type="table" w:styleId="TableGrid">
    <w:name w:val="Table Grid"/>
    <w:basedOn w:val="TableNormal"/>
    <w:uiPriority w:val="59"/>
    <w:rsid w:val="0074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65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820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dards@irba.co.z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72CEC-E941-4456-BEAE-881B063BE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2017-01-09T07:27:00Z</cp:lastPrinted>
  <dcterms:created xsi:type="dcterms:W3CDTF">2017-01-13T14:00:00Z</dcterms:created>
  <dcterms:modified xsi:type="dcterms:W3CDTF">2017-01-13T14:00:00Z</dcterms:modified>
</cp:coreProperties>
</file>