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5D5268" w14:paraId="6D3042C7" w14:textId="77777777" w:rsidTr="005D5268">
        <w:tc>
          <w:tcPr>
            <w:tcW w:w="9962" w:type="dxa"/>
            <w:tcBorders>
              <w:top w:val="single" w:sz="4" w:space="0" w:color="auto"/>
              <w:left w:val="nil"/>
              <w:bottom w:val="single" w:sz="4" w:space="0" w:color="auto"/>
              <w:right w:val="nil"/>
            </w:tcBorders>
          </w:tcPr>
          <w:p w14:paraId="65B2D206" w14:textId="77777777" w:rsidR="005D5268" w:rsidRPr="00F76271" w:rsidRDefault="005D5268" w:rsidP="005D5268">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21B9BA64" w14:textId="7460AF75" w:rsidR="005D5268" w:rsidRPr="005D5268" w:rsidRDefault="005D5268" w:rsidP="005D5268">
            <w:pPr>
              <w:spacing w:before="120" w:after="120" w:line="312" w:lineRule="atLeast"/>
              <w:jc w:val="center"/>
              <w:rPr>
                <w:rFonts w:ascii="Arial" w:hAnsi="Arial" w:cs="Arial"/>
                <w:b/>
                <w:bCs/>
                <w:color w:val="000000"/>
                <w:lang w:val="en-GB"/>
              </w:rPr>
            </w:pPr>
            <w:r>
              <w:rPr>
                <w:rFonts w:ascii="Arial" w:hAnsi="Arial" w:cs="Arial"/>
                <w:b/>
                <w:bCs/>
                <w:color w:val="000000"/>
                <w:lang w:val="en-GB"/>
              </w:rPr>
              <w:t>STANDARDS DEPARTMENT</w:t>
            </w:r>
          </w:p>
        </w:tc>
      </w:tr>
    </w:tbl>
    <w:p w14:paraId="069E5ACC" w14:textId="6F7EABD3" w:rsidR="005D5268" w:rsidRDefault="005D5268">
      <w:pPr>
        <w:rPr>
          <w:rFonts w:ascii="Arial" w:hAnsi="Arial" w:cs="Arial"/>
        </w:rPr>
      </w:pPr>
    </w:p>
    <w:tbl>
      <w:tblPr>
        <w:tblStyle w:val="TableGrid"/>
        <w:tblW w:w="0" w:type="auto"/>
        <w:tblLook w:val="04A0" w:firstRow="1" w:lastRow="0" w:firstColumn="1" w:lastColumn="0" w:noHBand="0" w:noVBand="1"/>
      </w:tblPr>
      <w:tblGrid>
        <w:gridCol w:w="9746"/>
      </w:tblGrid>
      <w:tr w:rsidR="005D5268" w14:paraId="4A689585" w14:textId="77777777" w:rsidTr="005D5268">
        <w:tc>
          <w:tcPr>
            <w:tcW w:w="9962" w:type="dxa"/>
            <w:tcBorders>
              <w:top w:val="nil"/>
              <w:left w:val="nil"/>
              <w:bottom w:val="nil"/>
              <w:right w:val="nil"/>
            </w:tcBorders>
          </w:tcPr>
          <w:p w14:paraId="16E2B140" w14:textId="77777777" w:rsidR="005D5268" w:rsidRPr="00617D69" w:rsidRDefault="005D5268" w:rsidP="005D5268">
            <w:pPr>
              <w:spacing w:after="120"/>
              <w:jc w:val="center"/>
              <w:rPr>
                <w:rFonts w:ascii="Arial" w:hAnsi="Arial" w:cs="Arial"/>
                <w:b/>
                <w:sz w:val="22"/>
                <w:szCs w:val="22"/>
              </w:rPr>
            </w:pPr>
            <w:r w:rsidRPr="00617D69">
              <w:rPr>
                <w:rFonts w:ascii="Arial" w:hAnsi="Arial" w:cs="Arial"/>
                <w:b/>
                <w:sz w:val="22"/>
                <w:szCs w:val="22"/>
              </w:rPr>
              <w:t>REMINDER:</w:t>
            </w:r>
          </w:p>
          <w:p w14:paraId="11B6A6B7" w14:textId="77777777" w:rsidR="005D5268" w:rsidRPr="0069527B" w:rsidRDefault="005D5268" w:rsidP="005D5268">
            <w:pPr>
              <w:spacing w:before="120" w:after="120"/>
              <w:jc w:val="center"/>
              <w:rPr>
                <w:rFonts w:ascii="Arial" w:hAnsi="Arial" w:cs="Arial"/>
                <w:b/>
                <w:sz w:val="22"/>
                <w:szCs w:val="22"/>
              </w:rPr>
            </w:pPr>
            <w:r w:rsidRPr="0069527B">
              <w:rPr>
                <w:rFonts w:ascii="Arial" w:hAnsi="Arial" w:cs="Arial"/>
                <w:b/>
                <w:sz w:val="22"/>
                <w:szCs w:val="22"/>
              </w:rPr>
              <w:t>Effective Dates of Recent Amendments to the IRBA Code of Professional Conduct, Auditing Standards and Auditor Reports</w:t>
            </w:r>
          </w:p>
          <w:p w14:paraId="27267261" w14:textId="6B94E7AE" w:rsidR="005D5268" w:rsidRPr="00F76271" w:rsidRDefault="005D5268" w:rsidP="005D5268">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BF7B8E">
              <w:rPr>
                <w:rFonts w:ascii="Arial" w:hAnsi="Arial" w:cs="Arial"/>
                <w:sz w:val="22"/>
                <w:szCs w:val="22"/>
                <w:lang w:val="en-GB"/>
              </w:rPr>
              <w:t>7</w:t>
            </w:r>
            <w:bookmarkStart w:id="0" w:name="_GoBack"/>
            <w:bookmarkEnd w:id="0"/>
            <w:r>
              <w:rPr>
                <w:rFonts w:ascii="Arial" w:hAnsi="Arial" w:cs="Arial"/>
                <w:sz w:val="22"/>
                <w:szCs w:val="22"/>
                <w:lang w:val="en-GB"/>
              </w:rPr>
              <w:t xml:space="preserve"> February 2017</w:t>
            </w:r>
          </w:p>
          <w:p w14:paraId="08FEBA0D" w14:textId="77777777" w:rsidR="005D5268" w:rsidRPr="00B21992" w:rsidRDefault="005D5268" w:rsidP="005D5268">
            <w:pPr>
              <w:pStyle w:val="NormalWeb"/>
              <w:spacing w:before="0" w:beforeAutospacing="0" w:after="120" w:afterAutospacing="0"/>
              <w:jc w:val="both"/>
              <w:rPr>
                <w:rFonts w:ascii="Arial" w:hAnsi="Arial" w:cs="Arial"/>
                <w:sz w:val="22"/>
                <w:szCs w:val="22"/>
                <w:lang w:val="en-GB"/>
              </w:rPr>
            </w:pPr>
          </w:p>
          <w:p w14:paraId="2F342ACA" w14:textId="77777777" w:rsidR="005D5268" w:rsidRDefault="005D5268" w:rsidP="005D5268">
            <w:pPr>
              <w:pStyle w:val="NormalWeb"/>
              <w:spacing w:before="0" w:beforeAutospacing="0" w:after="120" w:afterAutospacing="0"/>
              <w:jc w:val="both"/>
              <w:rPr>
                <w:rFonts w:ascii="Arial" w:hAnsi="Arial" w:cs="Arial"/>
                <w:sz w:val="22"/>
                <w:szCs w:val="22"/>
              </w:rPr>
            </w:pPr>
            <w:r>
              <w:rPr>
                <w:rFonts w:ascii="Arial" w:hAnsi="Arial" w:cs="Arial"/>
                <w:sz w:val="22"/>
                <w:szCs w:val="22"/>
              </w:rPr>
              <w:t>Registered auditors and others are reminded that the following amendments to the IRBA Code of Professional Conduct, Auditing Standards and Auditor Reports were issued in 2016 and are already effective or will soon be effective:</w:t>
            </w:r>
          </w:p>
          <w:p w14:paraId="7F5A4558" w14:textId="77777777" w:rsidR="005D5268" w:rsidRPr="009A4EED" w:rsidRDefault="005D5268" w:rsidP="005D5268">
            <w:pPr>
              <w:pStyle w:val="NormalWeb"/>
              <w:spacing w:before="0" w:beforeAutospacing="0" w:after="120" w:afterAutospacing="0"/>
              <w:jc w:val="both"/>
              <w:rPr>
                <w:rFonts w:ascii="Arial" w:hAnsi="Arial" w:cs="Arial"/>
                <w:sz w:val="22"/>
                <w:szCs w:val="22"/>
              </w:rPr>
            </w:pPr>
          </w:p>
          <w:tbl>
            <w:tblPr>
              <w:tblStyle w:val="TableGrid"/>
              <w:tblW w:w="0" w:type="auto"/>
              <w:tblLook w:val="04A0" w:firstRow="1" w:lastRow="0" w:firstColumn="1" w:lastColumn="0" w:noHBand="0" w:noVBand="1"/>
            </w:tblPr>
            <w:tblGrid>
              <w:gridCol w:w="5628"/>
              <w:gridCol w:w="3892"/>
            </w:tblGrid>
            <w:tr w:rsidR="005D5268" w:rsidRPr="00AF2121" w14:paraId="7201DE06" w14:textId="77777777" w:rsidTr="0008145A">
              <w:trPr>
                <w:trHeight w:val="383"/>
              </w:trPr>
              <w:tc>
                <w:tcPr>
                  <w:tcW w:w="5766" w:type="dxa"/>
                  <w:shd w:val="clear" w:color="auto" w:fill="BFBFBF" w:themeFill="background1" w:themeFillShade="BF"/>
                  <w:vAlign w:val="center"/>
                </w:tcPr>
                <w:p w14:paraId="4523497D" w14:textId="77777777" w:rsidR="005D5268" w:rsidRPr="0055385A" w:rsidRDefault="005D5268" w:rsidP="005D5268">
                  <w:pPr>
                    <w:spacing w:before="120" w:after="120"/>
                    <w:rPr>
                      <w:rFonts w:ascii="Arial" w:hAnsi="Arial" w:cs="Arial"/>
                      <w:b/>
                      <w:sz w:val="22"/>
                      <w:szCs w:val="22"/>
                    </w:rPr>
                  </w:pPr>
                  <w:r w:rsidRPr="00612570">
                    <w:rPr>
                      <w:rFonts w:ascii="Arial" w:hAnsi="Arial" w:cs="Arial"/>
                      <w:b/>
                      <w:sz w:val="22"/>
                      <w:szCs w:val="22"/>
                    </w:rPr>
                    <w:t>Amendments to the IRBA Code</w:t>
                  </w:r>
                  <w:r>
                    <w:rPr>
                      <w:rFonts w:ascii="Arial" w:hAnsi="Arial" w:cs="Arial"/>
                      <w:b/>
                      <w:sz w:val="22"/>
                      <w:szCs w:val="22"/>
                    </w:rPr>
                    <w:t xml:space="preserve"> of Professional Conduct</w:t>
                  </w:r>
                </w:p>
              </w:tc>
              <w:tc>
                <w:tcPr>
                  <w:tcW w:w="3970" w:type="dxa"/>
                  <w:shd w:val="clear" w:color="auto" w:fill="BFBFBF" w:themeFill="background1" w:themeFillShade="BF"/>
                  <w:vAlign w:val="center"/>
                </w:tcPr>
                <w:p w14:paraId="75C71873" w14:textId="77777777" w:rsidR="005D5268" w:rsidRPr="00AF2121" w:rsidRDefault="005D5268" w:rsidP="005D5268">
                  <w:pPr>
                    <w:spacing w:before="120" w:after="120"/>
                    <w:rPr>
                      <w:rFonts w:ascii="Arial" w:hAnsi="Arial" w:cs="Arial"/>
                      <w:b/>
                      <w:sz w:val="22"/>
                      <w:szCs w:val="22"/>
                    </w:rPr>
                  </w:pPr>
                  <w:r>
                    <w:rPr>
                      <w:rFonts w:ascii="Arial" w:hAnsi="Arial" w:cs="Arial"/>
                      <w:b/>
                      <w:sz w:val="22"/>
                      <w:szCs w:val="22"/>
                    </w:rPr>
                    <w:t>Effective Date</w:t>
                  </w:r>
                </w:p>
              </w:tc>
            </w:tr>
            <w:tr w:rsidR="005D5268" w:rsidRPr="00AF2121" w14:paraId="08EBFFBF" w14:textId="77777777" w:rsidTr="0008145A">
              <w:tc>
                <w:tcPr>
                  <w:tcW w:w="5766" w:type="dxa"/>
                </w:tcPr>
                <w:p w14:paraId="4CAF7BE6" w14:textId="77777777" w:rsidR="005D5268" w:rsidRPr="00AF2121" w:rsidDel="004C1C01" w:rsidRDefault="005D5268" w:rsidP="005D5268">
                  <w:pPr>
                    <w:spacing w:before="120" w:after="120"/>
                    <w:rPr>
                      <w:rFonts w:ascii="Arial" w:hAnsi="Arial" w:cs="Arial"/>
                      <w:sz w:val="22"/>
                      <w:szCs w:val="22"/>
                    </w:rPr>
                  </w:pPr>
                  <w:r w:rsidRPr="00F37E35">
                    <w:rPr>
                      <w:rFonts w:ascii="Arial" w:hAnsi="Arial" w:cs="Arial"/>
                      <w:sz w:val="22"/>
                      <w:szCs w:val="22"/>
                    </w:rPr>
                    <w:t>Final Amendments to the IRBA Code of Professional Conduct for Registered Auditors Responding to Non-Compliance with Laws and Regulations</w:t>
                  </w:r>
                </w:p>
              </w:tc>
              <w:tc>
                <w:tcPr>
                  <w:tcW w:w="3970" w:type="dxa"/>
                </w:tcPr>
                <w:p w14:paraId="0330F9CE" w14:textId="77777777" w:rsidR="005D5268" w:rsidRPr="00AF2121" w:rsidDel="004C1C01" w:rsidRDefault="005D5268" w:rsidP="005D5268">
                  <w:pPr>
                    <w:pStyle w:val="NormalWeb"/>
                    <w:shd w:val="clear" w:color="auto" w:fill="FFFFFF"/>
                    <w:spacing w:before="120" w:beforeAutospacing="0" w:after="120" w:afterAutospacing="0"/>
                  </w:pPr>
                  <w:r>
                    <w:rPr>
                      <w:rFonts w:ascii="Arial" w:hAnsi="Arial" w:cs="Arial"/>
                      <w:sz w:val="22"/>
                      <w:szCs w:val="22"/>
                    </w:rPr>
                    <w:t>The changes will be effective as of 15 July 2017. Early adoption is permitted.</w:t>
                  </w:r>
                </w:p>
              </w:tc>
            </w:tr>
            <w:tr w:rsidR="005D5268" w:rsidRPr="00AF2121" w14:paraId="052999FE" w14:textId="77777777" w:rsidTr="0008145A">
              <w:tc>
                <w:tcPr>
                  <w:tcW w:w="5766" w:type="dxa"/>
                </w:tcPr>
                <w:p w14:paraId="60BF06CC" w14:textId="77777777" w:rsidR="005D5268" w:rsidRPr="00641F09" w:rsidRDefault="005D5268" w:rsidP="005D5268">
                  <w:pPr>
                    <w:spacing w:before="120" w:after="120"/>
                    <w:rPr>
                      <w:rFonts w:ascii="Arial" w:hAnsi="Arial" w:cs="Arial"/>
                      <w:sz w:val="22"/>
                      <w:szCs w:val="22"/>
                    </w:rPr>
                  </w:pPr>
                  <w:r>
                    <w:rPr>
                      <w:rFonts w:ascii="Arial" w:hAnsi="Arial" w:cs="Arial"/>
                      <w:sz w:val="22"/>
                      <w:szCs w:val="22"/>
                    </w:rPr>
                    <w:t>F</w:t>
                  </w:r>
                  <w:r w:rsidRPr="00F37E35">
                    <w:rPr>
                      <w:rFonts w:ascii="Arial" w:hAnsi="Arial" w:cs="Arial"/>
                      <w:sz w:val="22"/>
                      <w:szCs w:val="22"/>
                    </w:rPr>
                    <w:t xml:space="preserve">inal </w:t>
                  </w:r>
                  <w:r>
                    <w:rPr>
                      <w:rFonts w:ascii="Arial" w:hAnsi="Arial" w:cs="Arial"/>
                      <w:sz w:val="22"/>
                      <w:szCs w:val="22"/>
                    </w:rPr>
                    <w:t>A</w:t>
                  </w:r>
                  <w:r w:rsidRPr="00F37E35">
                    <w:rPr>
                      <w:rFonts w:ascii="Arial" w:hAnsi="Arial" w:cs="Arial"/>
                      <w:sz w:val="22"/>
                      <w:szCs w:val="22"/>
                    </w:rPr>
                    <w:t xml:space="preserve">mendments to the </w:t>
                  </w:r>
                  <w:r>
                    <w:rPr>
                      <w:rFonts w:ascii="Arial" w:hAnsi="Arial" w:cs="Arial"/>
                      <w:sz w:val="22"/>
                      <w:szCs w:val="22"/>
                    </w:rPr>
                    <w:t>IRBA</w:t>
                  </w:r>
                  <w:r w:rsidRPr="00F37E35">
                    <w:rPr>
                      <w:rFonts w:ascii="Arial" w:hAnsi="Arial" w:cs="Arial"/>
                      <w:sz w:val="22"/>
                      <w:szCs w:val="22"/>
                    </w:rPr>
                    <w:t xml:space="preserve"> </w:t>
                  </w:r>
                  <w:r>
                    <w:rPr>
                      <w:rFonts w:ascii="Arial" w:hAnsi="Arial" w:cs="Arial"/>
                      <w:sz w:val="22"/>
                      <w:szCs w:val="22"/>
                    </w:rPr>
                    <w:t>C</w:t>
                  </w:r>
                  <w:r w:rsidRPr="00F37E35">
                    <w:rPr>
                      <w:rFonts w:ascii="Arial" w:hAnsi="Arial" w:cs="Arial"/>
                      <w:sz w:val="22"/>
                      <w:szCs w:val="22"/>
                    </w:rPr>
                    <w:t xml:space="preserve">ode of </w:t>
                  </w:r>
                  <w:r>
                    <w:rPr>
                      <w:rFonts w:ascii="Arial" w:hAnsi="Arial" w:cs="Arial"/>
                      <w:sz w:val="22"/>
                      <w:szCs w:val="22"/>
                    </w:rPr>
                    <w:t>P</w:t>
                  </w:r>
                  <w:r w:rsidRPr="00F37E35">
                    <w:rPr>
                      <w:rFonts w:ascii="Arial" w:hAnsi="Arial" w:cs="Arial"/>
                      <w:sz w:val="22"/>
                      <w:szCs w:val="22"/>
                    </w:rPr>
                    <w:t xml:space="preserve">rofessional </w:t>
                  </w:r>
                  <w:r>
                    <w:rPr>
                      <w:rFonts w:ascii="Arial" w:hAnsi="Arial" w:cs="Arial"/>
                      <w:sz w:val="22"/>
                      <w:szCs w:val="22"/>
                    </w:rPr>
                    <w:t>C</w:t>
                  </w:r>
                  <w:r w:rsidRPr="00F37E35">
                    <w:rPr>
                      <w:rFonts w:ascii="Arial" w:hAnsi="Arial" w:cs="Arial"/>
                      <w:sz w:val="22"/>
                      <w:szCs w:val="22"/>
                    </w:rPr>
                    <w:t xml:space="preserve">onduct for </w:t>
                  </w:r>
                  <w:r>
                    <w:rPr>
                      <w:rFonts w:ascii="Arial" w:hAnsi="Arial" w:cs="Arial"/>
                      <w:sz w:val="22"/>
                      <w:szCs w:val="22"/>
                    </w:rPr>
                    <w:t>R</w:t>
                  </w:r>
                  <w:r w:rsidRPr="00F37E35">
                    <w:rPr>
                      <w:rFonts w:ascii="Arial" w:hAnsi="Arial" w:cs="Arial"/>
                      <w:sz w:val="22"/>
                      <w:szCs w:val="22"/>
                    </w:rPr>
                    <w:t xml:space="preserve">egistered </w:t>
                  </w:r>
                  <w:r>
                    <w:rPr>
                      <w:rFonts w:ascii="Arial" w:hAnsi="Arial" w:cs="Arial"/>
                      <w:sz w:val="22"/>
                      <w:szCs w:val="22"/>
                    </w:rPr>
                    <w:t>Auditors Relating to the Definition of Public Interest E</w:t>
                  </w:r>
                  <w:r w:rsidRPr="00F37E35">
                    <w:rPr>
                      <w:rFonts w:ascii="Arial" w:hAnsi="Arial" w:cs="Arial"/>
                      <w:sz w:val="22"/>
                      <w:szCs w:val="22"/>
                    </w:rPr>
                    <w:t>ntities</w:t>
                  </w:r>
                </w:p>
              </w:tc>
              <w:tc>
                <w:tcPr>
                  <w:tcW w:w="3970" w:type="dxa"/>
                </w:tcPr>
                <w:p w14:paraId="1B74AABA" w14:textId="12326061" w:rsidR="005D5268" w:rsidRDefault="005D5268" w:rsidP="005D5268">
                  <w:pPr>
                    <w:pStyle w:val="NormalWeb"/>
                    <w:spacing w:before="120" w:beforeAutospacing="0" w:after="120" w:afterAutospacing="0"/>
                    <w:rPr>
                      <w:rFonts w:ascii="Arial" w:hAnsi="Arial" w:cs="Arial"/>
                      <w:sz w:val="22"/>
                      <w:szCs w:val="22"/>
                    </w:rPr>
                  </w:pPr>
                  <w:r>
                    <w:rPr>
                      <w:rFonts w:ascii="Arial" w:hAnsi="Arial" w:cs="Arial"/>
                      <w:sz w:val="22"/>
                      <w:szCs w:val="22"/>
                    </w:rPr>
                    <w:t>Effective on or after 1 July 2016, in other words, for financial years ending after 30 June 2016.</w:t>
                  </w:r>
                </w:p>
                <w:p w14:paraId="65C657F7" w14:textId="77777777" w:rsidR="005D5268" w:rsidRDefault="005D5268" w:rsidP="005D5268">
                  <w:pPr>
                    <w:pStyle w:val="NormalWeb"/>
                    <w:spacing w:before="120" w:beforeAutospacing="0" w:after="120" w:afterAutospacing="0"/>
                    <w:rPr>
                      <w:rFonts w:ascii="Arial" w:hAnsi="Arial" w:cs="Arial"/>
                      <w:sz w:val="22"/>
                      <w:szCs w:val="22"/>
                    </w:rPr>
                  </w:pPr>
                  <w:r>
                    <w:rPr>
                      <w:rFonts w:ascii="Arial" w:hAnsi="Arial" w:cs="Arial"/>
                      <w:sz w:val="22"/>
                      <w:szCs w:val="22"/>
                    </w:rPr>
                    <w:t xml:space="preserve">The intention is not for the amendment to be </w:t>
                  </w:r>
                  <w:r>
                    <w:rPr>
                      <w:rFonts w:ascii="Arial" w:eastAsia="Calibri" w:hAnsi="Arial" w:cs="Arial"/>
                      <w:sz w:val="22"/>
                      <w:szCs w:val="22"/>
                    </w:rPr>
                    <w:t>applied retrospectively to earlier financial periods. However, it should be noted that paragraph 290.25 has been effective from 1 January 2011 and should be adhered to.</w:t>
                  </w:r>
                </w:p>
              </w:tc>
            </w:tr>
            <w:tr w:rsidR="005D5268" w:rsidRPr="00AF2121" w14:paraId="4D7860E3" w14:textId="77777777" w:rsidTr="0008145A">
              <w:tc>
                <w:tcPr>
                  <w:tcW w:w="5766" w:type="dxa"/>
                </w:tcPr>
                <w:p w14:paraId="28055109" w14:textId="1C7EA655" w:rsidR="005D5268" w:rsidRPr="00641F09" w:rsidRDefault="005D5268" w:rsidP="005D5268">
                  <w:pPr>
                    <w:spacing w:before="120" w:after="120"/>
                    <w:rPr>
                      <w:rFonts w:ascii="Arial" w:hAnsi="Arial" w:cs="Arial"/>
                      <w:sz w:val="22"/>
                      <w:szCs w:val="22"/>
                    </w:rPr>
                  </w:pPr>
                  <w:r w:rsidRPr="00F37E35">
                    <w:rPr>
                      <w:rFonts w:ascii="Arial" w:hAnsi="Arial" w:cs="Arial"/>
                      <w:sz w:val="22"/>
                      <w:szCs w:val="22"/>
                    </w:rPr>
                    <w:t xml:space="preserve">Final Amendments to the IRBA Code of Professional Conduct for Registered Auditors Relating to the Provision </w:t>
                  </w:r>
                  <w:r>
                    <w:rPr>
                      <w:rFonts w:ascii="Arial" w:hAnsi="Arial" w:cs="Arial"/>
                      <w:sz w:val="22"/>
                      <w:szCs w:val="22"/>
                    </w:rPr>
                    <w:t>of Non-Assurance Services</w:t>
                  </w:r>
                </w:p>
              </w:tc>
              <w:tc>
                <w:tcPr>
                  <w:tcW w:w="3970" w:type="dxa"/>
                </w:tcPr>
                <w:p w14:paraId="6F027CBD" w14:textId="77777777" w:rsidR="005D5268" w:rsidRDefault="005D5268" w:rsidP="005D5268">
                  <w:pPr>
                    <w:pStyle w:val="NormalWeb"/>
                    <w:shd w:val="clear" w:color="auto" w:fill="FFFFFF"/>
                    <w:spacing w:before="120" w:beforeAutospacing="0" w:after="120" w:afterAutospacing="0"/>
                    <w:rPr>
                      <w:rFonts w:ascii="Arial" w:hAnsi="Arial" w:cs="Arial"/>
                      <w:sz w:val="22"/>
                      <w:szCs w:val="22"/>
                    </w:rPr>
                  </w:pPr>
                  <w:r>
                    <w:rPr>
                      <w:rFonts w:ascii="Arial" w:hAnsi="Arial" w:cs="Arial"/>
                      <w:sz w:val="22"/>
                      <w:szCs w:val="22"/>
                    </w:rPr>
                    <w:t>Effective on or after 15 April 2016.</w:t>
                  </w:r>
                </w:p>
              </w:tc>
            </w:tr>
          </w:tbl>
          <w:p w14:paraId="1E29B29E" w14:textId="77777777" w:rsidR="005D5268" w:rsidRDefault="005D5268" w:rsidP="005D5268"/>
          <w:tbl>
            <w:tblPr>
              <w:tblStyle w:val="TableGrid"/>
              <w:tblW w:w="0" w:type="auto"/>
              <w:tblLook w:val="04A0" w:firstRow="1" w:lastRow="0" w:firstColumn="1" w:lastColumn="0" w:noHBand="0" w:noVBand="1"/>
            </w:tblPr>
            <w:tblGrid>
              <w:gridCol w:w="5649"/>
              <w:gridCol w:w="3871"/>
            </w:tblGrid>
            <w:tr w:rsidR="005D5268" w:rsidRPr="00AF2121" w14:paraId="0974037F" w14:textId="77777777" w:rsidTr="0008145A">
              <w:tc>
                <w:tcPr>
                  <w:tcW w:w="5766" w:type="dxa"/>
                  <w:shd w:val="clear" w:color="auto" w:fill="BFBFBF" w:themeFill="background1" w:themeFillShade="BF"/>
                </w:tcPr>
                <w:p w14:paraId="40B61C2F" w14:textId="77777777" w:rsidR="005D5268" w:rsidRPr="00612570" w:rsidRDefault="005D5268" w:rsidP="005D5268">
                  <w:pPr>
                    <w:spacing w:before="120" w:after="120"/>
                    <w:rPr>
                      <w:rFonts w:ascii="Arial" w:hAnsi="Arial" w:cs="Arial"/>
                      <w:b/>
                      <w:bCs/>
                      <w:sz w:val="22"/>
                      <w:szCs w:val="22"/>
                      <w:lang w:eastAsia="en-ZA"/>
                    </w:rPr>
                  </w:pPr>
                  <w:r w:rsidRPr="00612570">
                    <w:rPr>
                      <w:rFonts w:ascii="Arial" w:hAnsi="Arial" w:cs="Arial"/>
                      <w:b/>
                      <w:bCs/>
                      <w:sz w:val="22"/>
                      <w:szCs w:val="22"/>
                      <w:lang w:eastAsia="en-ZA"/>
                    </w:rPr>
                    <w:t>Auditing Standards</w:t>
                  </w:r>
                </w:p>
              </w:tc>
              <w:tc>
                <w:tcPr>
                  <w:tcW w:w="3970" w:type="dxa"/>
                  <w:shd w:val="clear" w:color="auto" w:fill="BFBFBF" w:themeFill="background1" w:themeFillShade="BF"/>
                </w:tcPr>
                <w:p w14:paraId="2564072D" w14:textId="77777777" w:rsidR="005D5268" w:rsidRPr="00612570" w:rsidRDefault="005D5268" w:rsidP="005D5268">
                  <w:pPr>
                    <w:pStyle w:val="NormalWeb"/>
                    <w:spacing w:before="120" w:beforeAutospacing="0" w:after="120" w:afterAutospacing="0"/>
                    <w:rPr>
                      <w:rFonts w:ascii="Arial" w:hAnsi="Arial" w:cs="Arial"/>
                      <w:b/>
                      <w:sz w:val="22"/>
                      <w:szCs w:val="22"/>
                    </w:rPr>
                  </w:pPr>
                  <w:r w:rsidRPr="00612570">
                    <w:rPr>
                      <w:rFonts w:ascii="Arial" w:hAnsi="Arial" w:cs="Arial"/>
                      <w:b/>
                      <w:sz w:val="22"/>
                      <w:szCs w:val="22"/>
                    </w:rPr>
                    <w:t>Effective Date</w:t>
                  </w:r>
                </w:p>
              </w:tc>
            </w:tr>
            <w:tr w:rsidR="005D5268" w:rsidRPr="00AF2121" w14:paraId="1C897BE1" w14:textId="77777777" w:rsidTr="0008145A">
              <w:tc>
                <w:tcPr>
                  <w:tcW w:w="5766" w:type="dxa"/>
                </w:tcPr>
                <w:p w14:paraId="7A75A5CF" w14:textId="754C8B56" w:rsidR="005D5268" w:rsidRPr="00F37E35" w:rsidDel="004C1C01" w:rsidRDefault="005D5268" w:rsidP="005D5268">
                  <w:pPr>
                    <w:spacing w:before="120" w:after="120"/>
                    <w:rPr>
                      <w:rFonts w:ascii="Arial" w:hAnsi="Arial" w:cs="Arial"/>
                      <w:sz w:val="22"/>
                      <w:szCs w:val="22"/>
                      <w:lang w:eastAsia="en-ZA"/>
                    </w:rPr>
                  </w:pPr>
                  <w:r w:rsidRPr="00F37E35">
                    <w:rPr>
                      <w:rFonts w:ascii="Arial" w:hAnsi="Arial" w:cs="Arial"/>
                      <w:bCs/>
                      <w:sz w:val="22"/>
                      <w:szCs w:val="22"/>
                      <w:lang w:eastAsia="en-ZA"/>
                    </w:rPr>
                    <w:t xml:space="preserve">ISA 810 (Revised), </w:t>
                  </w:r>
                  <w:r w:rsidRPr="00F37E35">
                    <w:rPr>
                      <w:rFonts w:ascii="Arial" w:hAnsi="Arial" w:cs="Arial"/>
                      <w:i/>
                      <w:sz w:val="22"/>
                      <w:szCs w:val="22"/>
                    </w:rPr>
                    <w:t>Engagements to Report on Summary Financial Statements</w:t>
                  </w:r>
                </w:p>
              </w:tc>
              <w:tc>
                <w:tcPr>
                  <w:tcW w:w="3970" w:type="dxa"/>
                </w:tcPr>
                <w:p w14:paraId="0E66E5C5" w14:textId="77777777" w:rsidR="005D5268" w:rsidRPr="00AF2121" w:rsidDel="004C1C01" w:rsidRDefault="005D5268" w:rsidP="005D5268">
                  <w:pPr>
                    <w:pStyle w:val="NormalWeb"/>
                    <w:spacing w:before="120" w:beforeAutospacing="0" w:after="120" w:afterAutospacing="0"/>
                    <w:rPr>
                      <w:rFonts w:ascii="Arial" w:hAnsi="Arial" w:cs="Arial"/>
                      <w:sz w:val="22"/>
                      <w:szCs w:val="22"/>
                    </w:rPr>
                  </w:pPr>
                  <w:r>
                    <w:rPr>
                      <w:rFonts w:ascii="Arial" w:hAnsi="Arial" w:cs="Arial"/>
                      <w:sz w:val="22"/>
                      <w:szCs w:val="22"/>
                    </w:rPr>
                    <w:t>Effective for engagements to report on summary financial statements for periods ending on or after 15 December 2016.</w:t>
                  </w:r>
                </w:p>
              </w:tc>
            </w:tr>
            <w:tr w:rsidR="005D5268" w:rsidRPr="00AF2121" w14:paraId="3BB87613" w14:textId="77777777" w:rsidTr="0008145A">
              <w:tc>
                <w:tcPr>
                  <w:tcW w:w="5766" w:type="dxa"/>
                </w:tcPr>
                <w:p w14:paraId="61621AE3" w14:textId="109E99F3" w:rsidR="005D5268" w:rsidRPr="00641F09" w:rsidRDefault="005D5268" w:rsidP="0069527B">
                  <w:pPr>
                    <w:spacing w:before="120" w:after="120"/>
                    <w:rPr>
                      <w:rFonts w:ascii="Arial" w:hAnsi="Arial" w:cs="Arial"/>
                      <w:bCs/>
                      <w:iCs/>
                      <w:sz w:val="22"/>
                      <w:szCs w:val="22"/>
                      <w:lang w:val="en-GB"/>
                    </w:rPr>
                  </w:pPr>
                  <w:r w:rsidRPr="00F37E35">
                    <w:rPr>
                      <w:rFonts w:ascii="Arial" w:hAnsi="Arial" w:cs="Arial"/>
                      <w:bCs/>
                      <w:iCs/>
                      <w:sz w:val="22"/>
                      <w:szCs w:val="22"/>
                      <w:lang w:val="en-ZA"/>
                    </w:rPr>
                    <w:t>Revised ISAs</w:t>
                  </w:r>
                  <w:r w:rsidR="0069527B">
                    <w:rPr>
                      <w:rFonts w:ascii="Arial" w:hAnsi="Arial" w:cs="Arial"/>
                      <w:bCs/>
                      <w:iCs/>
                      <w:sz w:val="22"/>
                      <w:szCs w:val="22"/>
                      <w:lang w:val="en-ZA"/>
                    </w:rPr>
                    <w:t xml:space="preserve"> - </w:t>
                  </w:r>
                  <w:r w:rsidRPr="00F37E35">
                    <w:rPr>
                      <w:rFonts w:ascii="Arial" w:hAnsi="Arial" w:cs="Arial"/>
                      <w:bCs/>
                      <w:iCs/>
                      <w:sz w:val="22"/>
                      <w:szCs w:val="22"/>
                      <w:lang w:val="en-ZA"/>
                    </w:rPr>
                    <w:t>Addressing Disclosures in the Audit of Financial Statements and Related Conforming Amendments</w:t>
                  </w:r>
                </w:p>
              </w:tc>
              <w:tc>
                <w:tcPr>
                  <w:tcW w:w="3970" w:type="dxa"/>
                </w:tcPr>
                <w:p w14:paraId="0BAE607E" w14:textId="77777777" w:rsidR="005D5268" w:rsidRPr="00F37E35" w:rsidRDefault="005D5268" w:rsidP="005D5268">
                  <w:pPr>
                    <w:pStyle w:val="NormalWeb"/>
                    <w:spacing w:before="120" w:beforeAutospacing="0" w:after="120" w:afterAutospacing="0"/>
                    <w:rPr>
                      <w:rFonts w:ascii="Arial" w:hAnsi="Arial" w:cs="Arial"/>
                      <w:bCs/>
                      <w:sz w:val="22"/>
                      <w:szCs w:val="22"/>
                      <w:lang w:val="en-ZA"/>
                    </w:rPr>
                  </w:pPr>
                  <w:r>
                    <w:rPr>
                      <w:rFonts w:ascii="Arial" w:hAnsi="Arial" w:cs="Arial"/>
                      <w:bCs/>
                      <w:sz w:val="22"/>
                      <w:szCs w:val="22"/>
                      <w:lang w:val="en-ZA"/>
                    </w:rPr>
                    <w:t>The Revised ISAs are effective for audits of financial statements for periods ending on or after 15 December 2016.</w:t>
                  </w:r>
                </w:p>
              </w:tc>
            </w:tr>
            <w:tr w:rsidR="005D5268" w:rsidRPr="00AF2121" w14:paraId="7FCBF527" w14:textId="77777777" w:rsidTr="0008145A">
              <w:tc>
                <w:tcPr>
                  <w:tcW w:w="5766" w:type="dxa"/>
                </w:tcPr>
                <w:p w14:paraId="2E968880" w14:textId="3F4200E5" w:rsidR="005D5268" w:rsidRPr="007C048E" w:rsidRDefault="005D5268" w:rsidP="005D5268">
                  <w:pPr>
                    <w:spacing w:before="120" w:after="120"/>
                    <w:rPr>
                      <w:rFonts w:ascii="Arial" w:hAnsi="Arial" w:cs="Arial"/>
                      <w:bCs/>
                      <w:iCs/>
                      <w:sz w:val="22"/>
                      <w:szCs w:val="22"/>
                      <w:lang w:val="en-ZA"/>
                    </w:rPr>
                  </w:pPr>
                  <w:r w:rsidRPr="007C048E">
                    <w:rPr>
                      <w:rFonts w:ascii="Arial" w:hAnsi="Arial" w:cs="Arial"/>
                      <w:bCs/>
                      <w:iCs/>
                      <w:sz w:val="22"/>
                      <w:szCs w:val="22"/>
                      <w:lang w:val="en-ZA"/>
                    </w:rPr>
                    <w:t>IAASB</w:t>
                  </w:r>
                  <w:r w:rsidR="00E35A40">
                    <w:rPr>
                      <w:rFonts w:ascii="Arial" w:hAnsi="Arial" w:cs="Arial"/>
                      <w:bCs/>
                      <w:iCs/>
                      <w:sz w:val="22"/>
                      <w:szCs w:val="22"/>
                      <w:lang w:val="en-ZA"/>
                    </w:rPr>
                    <w:t>'</w:t>
                  </w:r>
                  <w:r w:rsidRPr="007C048E">
                    <w:rPr>
                      <w:rFonts w:ascii="Arial" w:hAnsi="Arial" w:cs="Arial"/>
                      <w:bCs/>
                      <w:iCs/>
                      <w:sz w:val="22"/>
                      <w:szCs w:val="22"/>
                      <w:lang w:val="en-ZA"/>
                    </w:rPr>
                    <w:t>s new and revised Auditor Reporting Standards and</w:t>
                  </w:r>
                  <w:r>
                    <w:rPr>
                      <w:rFonts w:ascii="Arial" w:hAnsi="Arial" w:cs="Arial"/>
                      <w:bCs/>
                      <w:iCs/>
                      <w:sz w:val="22"/>
                      <w:szCs w:val="22"/>
                      <w:lang w:val="en-ZA"/>
                    </w:rPr>
                    <w:t xml:space="preserve"> </w:t>
                  </w:r>
                  <w:r w:rsidRPr="007C048E">
                    <w:rPr>
                      <w:rFonts w:ascii="Arial" w:hAnsi="Arial" w:cs="Arial"/>
                      <w:bCs/>
                      <w:iCs/>
                      <w:sz w:val="22"/>
                      <w:szCs w:val="22"/>
                      <w:lang w:val="en-ZA"/>
                    </w:rPr>
                    <w:t>related conforming amendments</w:t>
                  </w:r>
                  <w:r>
                    <w:rPr>
                      <w:rFonts w:ascii="Arial" w:hAnsi="Arial" w:cs="Arial"/>
                      <w:bCs/>
                      <w:iCs/>
                      <w:sz w:val="22"/>
                      <w:szCs w:val="22"/>
                      <w:lang w:val="en-ZA"/>
                    </w:rPr>
                    <w:t>. These standards include the following:</w:t>
                  </w:r>
                </w:p>
                <w:p w14:paraId="5FFF68EB" w14:textId="77777777" w:rsidR="005D5268" w:rsidRPr="00325538" w:rsidRDefault="005D5268" w:rsidP="005D5268">
                  <w:pPr>
                    <w:pStyle w:val="ListParagraph"/>
                    <w:numPr>
                      <w:ilvl w:val="0"/>
                      <w:numId w:val="3"/>
                    </w:numPr>
                    <w:spacing w:before="120" w:after="120"/>
                    <w:rPr>
                      <w:rFonts w:ascii="Arial" w:hAnsi="Arial" w:cs="Arial"/>
                      <w:bCs/>
                      <w:iCs/>
                      <w:sz w:val="22"/>
                      <w:szCs w:val="22"/>
                      <w:lang w:val="en-ZA"/>
                    </w:rPr>
                  </w:pPr>
                  <w:r w:rsidRPr="00325538">
                    <w:rPr>
                      <w:rFonts w:ascii="Arial" w:hAnsi="Arial" w:cs="Arial"/>
                      <w:bCs/>
                      <w:iCs/>
                      <w:sz w:val="22"/>
                      <w:szCs w:val="22"/>
                      <w:lang w:val="en-ZA"/>
                    </w:rPr>
                    <w:t xml:space="preserve">ISA 700 (Revised), </w:t>
                  </w:r>
                  <w:r w:rsidRPr="006155A2">
                    <w:rPr>
                      <w:rFonts w:ascii="Arial" w:hAnsi="Arial" w:cs="Arial"/>
                      <w:bCs/>
                      <w:i/>
                      <w:iCs/>
                      <w:sz w:val="22"/>
                      <w:szCs w:val="22"/>
                      <w:lang w:val="en-ZA"/>
                    </w:rPr>
                    <w:t>Forming an Opinion and Reporting on Financial Statements</w:t>
                  </w:r>
                  <w:r w:rsidRPr="00325538">
                    <w:rPr>
                      <w:rFonts w:ascii="Arial" w:hAnsi="Arial" w:cs="Arial"/>
                      <w:bCs/>
                      <w:iCs/>
                      <w:sz w:val="22"/>
                      <w:szCs w:val="22"/>
                      <w:lang w:val="en-ZA"/>
                    </w:rPr>
                    <w:t>;</w:t>
                  </w:r>
                </w:p>
                <w:p w14:paraId="6468F814" w14:textId="5D9603E8" w:rsidR="005D5268" w:rsidRPr="00325538" w:rsidRDefault="005D5268" w:rsidP="005D5268">
                  <w:pPr>
                    <w:pStyle w:val="ListParagraph"/>
                    <w:numPr>
                      <w:ilvl w:val="0"/>
                      <w:numId w:val="3"/>
                    </w:numPr>
                    <w:spacing w:before="120" w:after="120"/>
                    <w:rPr>
                      <w:rFonts w:ascii="Arial" w:hAnsi="Arial" w:cs="Arial"/>
                      <w:bCs/>
                      <w:iCs/>
                      <w:sz w:val="22"/>
                      <w:szCs w:val="22"/>
                      <w:lang w:val="en-ZA"/>
                    </w:rPr>
                  </w:pPr>
                  <w:r w:rsidRPr="00325538">
                    <w:rPr>
                      <w:rFonts w:ascii="Arial" w:hAnsi="Arial" w:cs="Arial"/>
                      <w:bCs/>
                      <w:iCs/>
                      <w:sz w:val="22"/>
                      <w:szCs w:val="22"/>
                      <w:lang w:val="en-ZA"/>
                    </w:rPr>
                    <w:t xml:space="preserve">ISA 701, </w:t>
                  </w:r>
                  <w:r w:rsidRPr="006155A2">
                    <w:rPr>
                      <w:rFonts w:ascii="Arial" w:hAnsi="Arial" w:cs="Arial"/>
                      <w:bCs/>
                      <w:i/>
                      <w:iCs/>
                      <w:sz w:val="22"/>
                      <w:szCs w:val="22"/>
                      <w:lang w:val="en-ZA"/>
                    </w:rPr>
                    <w:t>Communicating Key Audit Matters in the Independent Auditor</w:t>
                  </w:r>
                  <w:r w:rsidR="00E35A40">
                    <w:rPr>
                      <w:rFonts w:ascii="Arial" w:hAnsi="Arial" w:cs="Arial"/>
                      <w:bCs/>
                      <w:i/>
                      <w:iCs/>
                      <w:sz w:val="22"/>
                      <w:szCs w:val="22"/>
                      <w:lang w:val="en-ZA"/>
                    </w:rPr>
                    <w:t>'</w:t>
                  </w:r>
                  <w:r w:rsidRPr="006155A2">
                    <w:rPr>
                      <w:rFonts w:ascii="Arial" w:hAnsi="Arial" w:cs="Arial"/>
                      <w:bCs/>
                      <w:i/>
                      <w:iCs/>
                      <w:sz w:val="22"/>
                      <w:szCs w:val="22"/>
                      <w:lang w:val="en-ZA"/>
                    </w:rPr>
                    <w:t>s Report</w:t>
                  </w:r>
                  <w:r w:rsidRPr="00325538">
                    <w:rPr>
                      <w:rFonts w:ascii="Arial" w:hAnsi="Arial" w:cs="Arial"/>
                      <w:bCs/>
                      <w:iCs/>
                      <w:sz w:val="22"/>
                      <w:szCs w:val="22"/>
                      <w:lang w:val="en-ZA"/>
                    </w:rPr>
                    <w:t>;</w:t>
                  </w:r>
                </w:p>
                <w:p w14:paraId="2A020902" w14:textId="09AB0012" w:rsidR="005D5268" w:rsidRPr="00325538" w:rsidRDefault="005D5268" w:rsidP="005D5268">
                  <w:pPr>
                    <w:pStyle w:val="ListParagraph"/>
                    <w:numPr>
                      <w:ilvl w:val="0"/>
                      <w:numId w:val="3"/>
                    </w:numPr>
                    <w:spacing w:before="120" w:after="120"/>
                    <w:rPr>
                      <w:rFonts w:ascii="Arial" w:hAnsi="Arial" w:cs="Arial"/>
                      <w:bCs/>
                      <w:iCs/>
                      <w:sz w:val="22"/>
                      <w:szCs w:val="22"/>
                      <w:lang w:val="en-ZA"/>
                    </w:rPr>
                  </w:pPr>
                  <w:r w:rsidRPr="00325538">
                    <w:rPr>
                      <w:rFonts w:ascii="Arial" w:hAnsi="Arial" w:cs="Arial"/>
                      <w:bCs/>
                      <w:iCs/>
                      <w:sz w:val="22"/>
                      <w:szCs w:val="22"/>
                      <w:lang w:val="en-ZA"/>
                    </w:rPr>
                    <w:t xml:space="preserve">ISA 705 (Revised), </w:t>
                  </w:r>
                  <w:r w:rsidRPr="006155A2">
                    <w:rPr>
                      <w:rFonts w:ascii="Arial" w:hAnsi="Arial" w:cs="Arial"/>
                      <w:bCs/>
                      <w:i/>
                      <w:iCs/>
                      <w:sz w:val="22"/>
                      <w:szCs w:val="22"/>
                      <w:lang w:val="en-ZA"/>
                    </w:rPr>
                    <w:t>Modifications to the Opinion in the Independent Auditor</w:t>
                  </w:r>
                  <w:r w:rsidR="00E35A40">
                    <w:rPr>
                      <w:rFonts w:ascii="Arial" w:hAnsi="Arial" w:cs="Arial"/>
                      <w:bCs/>
                      <w:i/>
                      <w:iCs/>
                      <w:sz w:val="22"/>
                      <w:szCs w:val="22"/>
                      <w:lang w:val="en-ZA"/>
                    </w:rPr>
                    <w:t>'</w:t>
                  </w:r>
                  <w:r w:rsidRPr="006155A2">
                    <w:rPr>
                      <w:rFonts w:ascii="Arial" w:hAnsi="Arial" w:cs="Arial"/>
                      <w:bCs/>
                      <w:i/>
                      <w:iCs/>
                      <w:sz w:val="22"/>
                      <w:szCs w:val="22"/>
                      <w:lang w:val="en-ZA"/>
                    </w:rPr>
                    <w:t>s Report</w:t>
                  </w:r>
                  <w:r w:rsidRPr="00325538">
                    <w:rPr>
                      <w:rFonts w:ascii="Arial" w:hAnsi="Arial" w:cs="Arial"/>
                      <w:bCs/>
                      <w:iCs/>
                      <w:sz w:val="22"/>
                      <w:szCs w:val="22"/>
                      <w:lang w:val="en-ZA"/>
                    </w:rPr>
                    <w:t>;</w:t>
                  </w:r>
                </w:p>
                <w:p w14:paraId="2B20613A" w14:textId="0CA554CE" w:rsidR="005D5268" w:rsidRPr="00436A4E" w:rsidRDefault="005D5268" w:rsidP="005D5268">
                  <w:pPr>
                    <w:pStyle w:val="ListParagraph"/>
                    <w:numPr>
                      <w:ilvl w:val="0"/>
                      <w:numId w:val="3"/>
                    </w:numPr>
                    <w:spacing w:before="120" w:after="120"/>
                    <w:rPr>
                      <w:rFonts w:ascii="Arial" w:hAnsi="Arial" w:cs="Arial"/>
                      <w:bCs/>
                      <w:iCs/>
                      <w:sz w:val="22"/>
                      <w:szCs w:val="22"/>
                      <w:lang w:val="en-ZA"/>
                    </w:rPr>
                  </w:pPr>
                  <w:r w:rsidRPr="00325538">
                    <w:rPr>
                      <w:rFonts w:ascii="Arial" w:hAnsi="Arial" w:cs="Arial"/>
                      <w:bCs/>
                      <w:iCs/>
                      <w:sz w:val="22"/>
                      <w:szCs w:val="22"/>
                      <w:lang w:val="en-ZA"/>
                    </w:rPr>
                    <w:t xml:space="preserve">ISA 706 (Revised), </w:t>
                  </w:r>
                  <w:r w:rsidRPr="006155A2">
                    <w:rPr>
                      <w:rFonts w:ascii="Arial" w:hAnsi="Arial" w:cs="Arial"/>
                      <w:bCs/>
                      <w:i/>
                      <w:iCs/>
                      <w:sz w:val="22"/>
                      <w:szCs w:val="22"/>
                      <w:lang w:val="en-ZA"/>
                    </w:rPr>
                    <w:t>Emphasis of Matter Paragraphs and Other Matter Paragraphs in the Independent Auditor</w:t>
                  </w:r>
                  <w:r w:rsidR="00E35A40">
                    <w:rPr>
                      <w:rFonts w:ascii="Arial" w:hAnsi="Arial" w:cs="Arial"/>
                      <w:bCs/>
                      <w:i/>
                      <w:iCs/>
                      <w:sz w:val="22"/>
                      <w:szCs w:val="22"/>
                      <w:lang w:val="en-ZA"/>
                    </w:rPr>
                    <w:t>'</w:t>
                  </w:r>
                  <w:r w:rsidRPr="006155A2">
                    <w:rPr>
                      <w:rFonts w:ascii="Arial" w:hAnsi="Arial" w:cs="Arial"/>
                      <w:bCs/>
                      <w:i/>
                      <w:iCs/>
                      <w:sz w:val="22"/>
                      <w:szCs w:val="22"/>
                      <w:lang w:val="en-ZA"/>
                    </w:rPr>
                    <w:t>s Report</w:t>
                  </w:r>
                  <w:r w:rsidRPr="00436A4E">
                    <w:rPr>
                      <w:rFonts w:ascii="Arial" w:hAnsi="Arial" w:cs="Arial"/>
                      <w:bCs/>
                      <w:iCs/>
                      <w:sz w:val="22"/>
                      <w:szCs w:val="22"/>
                      <w:lang w:val="en-ZA"/>
                    </w:rPr>
                    <w:t>;</w:t>
                  </w:r>
                </w:p>
                <w:p w14:paraId="143EBD33" w14:textId="77777777" w:rsidR="005D5268" w:rsidRPr="00325538" w:rsidRDefault="005D5268" w:rsidP="005D5268">
                  <w:pPr>
                    <w:pStyle w:val="ListParagraph"/>
                    <w:numPr>
                      <w:ilvl w:val="0"/>
                      <w:numId w:val="3"/>
                    </w:numPr>
                    <w:spacing w:before="120" w:after="120"/>
                    <w:rPr>
                      <w:rFonts w:ascii="Arial" w:hAnsi="Arial" w:cs="Arial"/>
                      <w:bCs/>
                      <w:iCs/>
                      <w:sz w:val="22"/>
                      <w:szCs w:val="22"/>
                      <w:lang w:val="en-ZA"/>
                    </w:rPr>
                  </w:pPr>
                  <w:r w:rsidRPr="00325538">
                    <w:rPr>
                      <w:rFonts w:ascii="Arial" w:hAnsi="Arial" w:cs="Arial"/>
                      <w:bCs/>
                      <w:iCs/>
                      <w:sz w:val="22"/>
                      <w:szCs w:val="22"/>
                      <w:lang w:val="en-ZA"/>
                    </w:rPr>
                    <w:t xml:space="preserve">ISA 570 (Revised), </w:t>
                  </w:r>
                  <w:r w:rsidRPr="006155A2">
                    <w:rPr>
                      <w:rFonts w:ascii="Arial" w:hAnsi="Arial" w:cs="Arial"/>
                      <w:bCs/>
                      <w:i/>
                      <w:iCs/>
                      <w:sz w:val="22"/>
                      <w:szCs w:val="22"/>
                      <w:lang w:val="en-ZA"/>
                    </w:rPr>
                    <w:t>Going Concern</w:t>
                  </w:r>
                  <w:r w:rsidRPr="00325538">
                    <w:rPr>
                      <w:rFonts w:ascii="Arial" w:hAnsi="Arial" w:cs="Arial"/>
                      <w:bCs/>
                      <w:iCs/>
                      <w:sz w:val="22"/>
                      <w:szCs w:val="22"/>
                      <w:lang w:val="en-ZA"/>
                    </w:rPr>
                    <w:t>;</w:t>
                  </w:r>
                </w:p>
                <w:p w14:paraId="45ECF9CF" w14:textId="77777777" w:rsidR="005D5268" w:rsidRPr="00325538" w:rsidRDefault="005D5268" w:rsidP="005D5268">
                  <w:pPr>
                    <w:pStyle w:val="ListParagraph"/>
                    <w:numPr>
                      <w:ilvl w:val="0"/>
                      <w:numId w:val="3"/>
                    </w:numPr>
                    <w:spacing w:before="120" w:after="120"/>
                    <w:rPr>
                      <w:rFonts w:ascii="Arial" w:hAnsi="Arial" w:cs="Arial"/>
                      <w:bCs/>
                      <w:iCs/>
                      <w:sz w:val="22"/>
                      <w:szCs w:val="22"/>
                      <w:lang w:val="en-ZA"/>
                    </w:rPr>
                  </w:pPr>
                  <w:r w:rsidRPr="00325538">
                    <w:rPr>
                      <w:rFonts w:ascii="Arial" w:hAnsi="Arial" w:cs="Arial"/>
                      <w:bCs/>
                      <w:iCs/>
                      <w:sz w:val="22"/>
                      <w:szCs w:val="22"/>
                      <w:lang w:val="en-ZA"/>
                    </w:rPr>
                    <w:t xml:space="preserve">ISA 260 (Revised), </w:t>
                  </w:r>
                  <w:r w:rsidRPr="006155A2">
                    <w:rPr>
                      <w:rFonts w:ascii="Arial" w:hAnsi="Arial" w:cs="Arial"/>
                      <w:bCs/>
                      <w:i/>
                      <w:iCs/>
                      <w:sz w:val="22"/>
                      <w:szCs w:val="22"/>
                      <w:lang w:val="en-ZA"/>
                    </w:rPr>
                    <w:t>Communication with Those Charged with Governance</w:t>
                  </w:r>
                  <w:r w:rsidRPr="00325538">
                    <w:rPr>
                      <w:rFonts w:ascii="Arial" w:hAnsi="Arial" w:cs="Arial"/>
                      <w:bCs/>
                      <w:iCs/>
                      <w:sz w:val="22"/>
                      <w:szCs w:val="22"/>
                      <w:lang w:val="en-ZA"/>
                    </w:rPr>
                    <w:t>; and</w:t>
                  </w:r>
                </w:p>
                <w:p w14:paraId="2F386174" w14:textId="77777777" w:rsidR="005D5268" w:rsidRPr="00325538" w:rsidRDefault="005D5268" w:rsidP="005D5268">
                  <w:pPr>
                    <w:pStyle w:val="ListParagraph"/>
                    <w:numPr>
                      <w:ilvl w:val="0"/>
                      <w:numId w:val="3"/>
                    </w:numPr>
                    <w:spacing w:before="120" w:after="120"/>
                    <w:rPr>
                      <w:rFonts w:ascii="Arial" w:hAnsi="Arial" w:cs="Arial"/>
                      <w:bCs/>
                      <w:iCs/>
                      <w:sz w:val="22"/>
                      <w:szCs w:val="22"/>
                      <w:lang w:val="en-ZA"/>
                    </w:rPr>
                  </w:pPr>
                  <w:r w:rsidRPr="00325538">
                    <w:rPr>
                      <w:rFonts w:ascii="Arial" w:hAnsi="Arial" w:cs="Arial"/>
                      <w:bCs/>
                      <w:iCs/>
                      <w:sz w:val="22"/>
                      <w:szCs w:val="22"/>
                      <w:lang w:val="en-ZA"/>
                    </w:rPr>
                    <w:t>Related Conforming Amendments to other ISAs.</w:t>
                  </w:r>
                </w:p>
              </w:tc>
              <w:tc>
                <w:tcPr>
                  <w:tcW w:w="3970" w:type="dxa"/>
                </w:tcPr>
                <w:p w14:paraId="20FF5E28" w14:textId="77777777" w:rsidR="005D5268" w:rsidRPr="007C048E" w:rsidRDefault="005D5268" w:rsidP="005D5268">
                  <w:pPr>
                    <w:spacing w:before="120" w:after="120"/>
                    <w:rPr>
                      <w:rFonts w:ascii="Arial" w:hAnsi="Arial" w:cs="Arial"/>
                      <w:bCs/>
                      <w:iCs/>
                      <w:sz w:val="22"/>
                      <w:szCs w:val="22"/>
                      <w:lang w:val="en-ZA"/>
                    </w:rPr>
                  </w:pPr>
                  <w:r>
                    <w:rPr>
                      <w:rFonts w:ascii="Arial" w:hAnsi="Arial" w:cs="Arial"/>
                      <w:bCs/>
                      <w:iCs/>
                      <w:sz w:val="22"/>
                      <w:szCs w:val="22"/>
                      <w:lang w:val="en-ZA"/>
                    </w:rPr>
                    <w:t>T</w:t>
                  </w:r>
                  <w:r w:rsidRPr="007C048E">
                    <w:rPr>
                      <w:rFonts w:ascii="Arial" w:hAnsi="Arial" w:cs="Arial"/>
                      <w:bCs/>
                      <w:iCs/>
                      <w:sz w:val="22"/>
                      <w:szCs w:val="22"/>
                      <w:lang w:val="en-ZA"/>
                    </w:rPr>
                    <w:t>he new and revised Auditor Reporting Standards are</w:t>
                  </w:r>
                  <w:r>
                    <w:rPr>
                      <w:rFonts w:ascii="Arial" w:hAnsi="Arial" w:cs="Arial"/>
                      <w:bCs/>
                      <w:iCs/>
                      <w:sz w:val="22"/>
                      <w:szCs w:val="22"/>
                      <w:lang w:val="en-ZA"/>
                    </w:rPr>
                    <w:t xml:space="preserve"> </w:t>
                  </w:r>
                  <w:r w:rsidRPr="007C048E">
                    <w:rPr>
                      <w:rFonts w:ascii="Arial" w:hAnsi="Arial" w:cs="Arial"/>
                      <w:bCs/>
                      <w:iCs/>
                      <w:sz w:val="22"/>
                      <w:szCs w:val="22"/>
                      <w:lang w:val="en-ZA"/>
                    </w:rPr>
                    <w:t xml:space="preserve">effective for audits of financial statements for </w:t>
                  </w:r>
                  <w:r>
                    <w:rPr>
                      <w:rFonts w:ascii="Arial" w:hAnsi="Arial" w:cs="Arial"/>
                      <w:bCs/>
                      <w:iCs/>
                      <w:sz w:val="22"/>
                      <w:szCs w:val="22"/>
                      <w:lang w:val="en-ZA"/>
                    </w:rPr>
                    <w:t>periods ending on or after 15 </w:t>
                  </w:r>
                  <w:r w:rsidRPr="007C048E">
                    <w:rPr>
                      <w:rFonts w:ascii="Arial" w:hAnsi="Arial" w:cs="Arial"/>
                      <w:bCs/>
                      <w:iCs/>
                      <w:sz w:val="22"/>
                      <w:szCs w:val="22"/>
                      <w:lang w:val="en-ZA"/>
                    </w:rPr>
                    <w:t>December 2016.</w:t>
                  </w:r>
                </w:p>
              </w:tc>
            </w:tr>
          </w:tbl>
          <w:p w14:paraId="6FD787FC" w14:textId="77777777" w:rsidR="005D5268" w:rsidRDefault="005D5268" w:rsidP="005D5268"/>
          <w:tbl>
            <w:tblPr>
              <w:tblStyle w:val="TableGrid"/>
              <w:tblW w:w="0" w:type="auto"/>
              <w:tblLook w:val="04A0" w:firstRow="1" w:lastRow="0" w:firstColumn="1" w:lastColumn="0" w:noHBand="0" w:noVBand="1"/>
            </w:tblPr>
            <w:tblGrid>
              <w:gridCol w:w="5617"/>
              <w:gridCol w:w="3903"/>
            </w:tblGrid>
            <w:tr w:rsidR="005D5268" w:rsidRPr="00AF2121" w14:paraId="39C62168" w14:textId="77777777" w:rsidTr="0008145A">
              <w:tc>
                <w:tcPr>
                  <w:tcW w:w="5766" w:type="dxa"/>
                  <w:shd w:val="clear" w:color="auto" w:fill="BFBFBF" w:themeFill="background1" w:themeFillShade="BF"/>
                </w:tcPr>
                <w:p w14:paraId="3A88C263" w14:textId="77777777" w:rsidR="005D5268" w:rsidRPr="00DF35FF" w:rsidRDefault="005D5268" w:rsidP="005D5268">
                  <w:pPr>
                    <w:spacing w:before="120" w:after="120"/>
                    <w:rPr>
                      <w:rFonts w:ascii="Arial" w:hAnsi="Arial" w:cs="Arial"/>
                      <w:b/>
                      <w:sz w:val="22"/>
                      <w:szCs w:val="22"/>
                    </w:rPr>
                  </w:pPr>
                  <w:r w:rsidRPr="00DF35FF">
                    <w:rPr>
                      <w:rFonts w:ascii="Arial" w:hAnsi="Arial" w:cs="Arial"/>
                      <w:b/>
                      <w:sz w:val="22"/>
                      <w:szCs w:val="22"/>
                    </w:rPr>
                    <w:t>New and Revised Auditor Reports</w:t>
                  </w:r>
                </w:p>
              </w:tc>
              <w:tc>
                <w:tcPr>
                  <w:tcW w:w="3970" w:type="dxa"/>
                  <w:shd w:val="clear" w:color="auto" w:fill="BFBFBF" w:themeFill="background1" w:themeFillShade="BF"/>
                  <w:vAlign w:val="center"/>
                </w:tcPr>
                <w:p w14:paraId="2B9622E9" w14:textId="77777777" w:rsidR="005D5268" w:rsidRDefault="005D5268" w:rsidP="005D5268">
                  <w:pPr>
                    <w:spacing w:before="120" w:after="120"/>
                    <w:rPr>
                      <w:rFonts w:ascii="Arial" w:hAnsi="Arial" w:cs="Arial"/>
                      <w:sz w:val="22"/>
                      <w:szCs w:val="22"/>
                    </w:rPr>
                  </w:pPr>
                  <w:r>
                    <w:rPr>
                      <w:rFonts w:ascii="Arial" w:hAnsi="Arial" w:cs="Arial"/>
                      <w:b/>
                      <w:sz w:val="22"/>
                      <w:szCs w:val="22"/>
                    </w:rPr>
                    <w:t>Effective Date</w:t>
                  </w:r>
                </w:p>
              </w:tc>
            </w:tr>
            <w:tr w:rsidR="005D5268" w:rsidRPr="00AF2121" w14:paraId="2FB0EBEF" w14:textId="77777777" w:rsidTr="0008145A">
              <w:tc>
                <w:tcPr>
                  <w:tcW w:w="5766" w:type="dxa"/>
                </w:tcPr>
                <w:p w14:paraId="00FC67AE" w14:textId="1A495CAA" w:rsidR="005D5268" w:rsidRPr="00F37E35" w:rsidDel="004C1C01" w:rsidRDefault="005D5268" w:rsidP="00E35A40">
                  <w:pPr>
                    <w:spacing w:before="120" w:after="120"/>
                    <w:rPr>
                      <w:rFonts w:ascii="Arial" w:hAnsi="Arial" w:cs="Arial"/>
                      <w:sz w:val="22"/>
                      <w:szCs w:val="22"/>
                    </w:rPr>
                  </w:pPr>
                  <w:r w:rsidRPr="00F37E35">
                    <w:rPr>
                      <w:rFonts w:ascii="Arial" w:hAnsi="Arial" w:cs="Arial"/>
                      <w:sz w:val="22"/>
                      <w:szCs w:val="22"/>
                    </w:rPr>
                    <w:t>Revised Illustrative South African Reserve Bank (SARB) Banks Act Regulatory Auditor</w:t>
                  </w:r>
                  <w:r w:rsidR="00E35A40">
                    <w:rPr>
                      <w:rFonts w:ascii="Arial" w:hAnsi="Arial" w:cs="Arial"/>
                      <w:sz w:val="22"/>
                      <w:szCs w:val="22"/>
                    </w:rPr>
                    <w:t>'</w:t>
                  </w:r>
                  <w:r w:rsidRPr="00F37E35">
                    <w:rPr>
                      <w:rFonts w:ascii="Arial" w:hAnsi="Arial" w:cs="Arial"/>
                      <w:sz w:val="22"/>
                      <w:szCs w:val="22"/>
                    </w:rPr>
                    <w:t>s Reports A-H</w:t>
                  </w:r>
                </w:p>
              </w:tc>
              <w:tc>
                <w:tcPr>
                  <w:tcW w:w="3970" w:type="dxa"/>
                </w:tcPr>
                <w:p w14:paraId="6E2229F7" w14:textId="77777777" w:rsidR="005D5268" w:rsidRPr="00AF2121" w:rsidDel="004C1C01" w:rsidRDefault="005D5268" w:rsidP="005D5268">
                  <w:pPr>
                    <w:spacing w:before="120" w:after="120"/>
                    <w:rPr>
                      <w:rFonts w:ascii="Arial" w:hAnsi="Arial" w:cs="Arial"/>
                      <w:sz w:val="22"/>
                      <w:szCs w:val="22"/>
                    </w:rPr>
                  </w:pPr>
                  <w:r>
                    <w:rPr>
                      <w:rFonts w:ascii="Arial" w:hAnsi="Arial" w:cs="Arial"/>
                      <w:sz w:val="22"/>
                      <w:szCs w:val="22"/>
                    </w:rPr>
                    <w:t>Effective for financial periods ending on or after 15 December 2016.</w:t>
                  </w:r>
                </w:p>
              </w:tc>
            </w:tr>
            <w:tr w:rsidR="005D5268" w:rsidRPr="00AF2121" w14:paraId="7428256E" w14:textId="77777777" w:rsidTr="0008145A">
              <w:tc>
                <w:tcPr>
                  <w:tcW w:w="5766" w:type="dxa"/>
                </w:tcPr>
                <w:p w14:paraId="3157F0F0" w14:textId="77777777" w:rsidR="005D5268" w:rsidRPr="00F37E35" w:rsidRDefault="005D5268" w:rsidP="005D5268">
                  <w:pPr>
                    <w:spacing w:before="120" w:after="120"/>
                    <w:rPr>
                      <w:rFonts w:ascii="Arial" w:hAnsi="Arial" w:cs="Arial"/>
                      <w:sz w:val="22"/>
                      <w:szCs w:val="22"/>
                    </w:rPr>
                  </w:pPr>
                  <w:r w:rsidRPr="000B5AAD">
                    <w:rPr>
                      <w:rFonts w:ascii="Arial" w:hAnsi="Arial" w:cs="Arial"/>
                      <w:sz w:val="22"/>
                      <w:szCs w:val="22"/>
                    </w:rPr>
                    <w:t>Revised Illustrative Reports Used by Registered Auditors When Reporting in Terms of the Financial Markets Act, No. 19 of 2012, and JSE Directive DG 1.7</w:t>
                  </w:r>
                </w:p>
              </w:tc>
              <w:tc>
                <w:tcPr>
                  <w:tcW w:w="3970" w:type="dxa"/>
                </w:tcPr>
                <w:p w14:paraId="15C2FB1C" w14:textId="77777777" w:rsidR="005D5268" w:rsidRDefault="005D5268" w:rsidP="005D5268">
                  <w:pPr>
                    <w:spacing w:before="120" w:after="120"/>
                    <w:rPr>
                      <w:rFonts w:ascii="Arial" w:hAnsi="Arial" w:cs="Arial"/>
                      <w:sz w:val="22"/>
                      <w:szCs w:val="22"/>
                    </w:rPr>
                  </w:pPr>
                  <w:r>
                    <w:rPr>
                      <w:rFonts w:ascii="Arial" w:hAnsi="Arial" w:cs="Arial"/>
                      <w:sz w:val="22"/>
                      <w:szCs w:val="22"/>
                    </w:rPr>
                    <w:t>Effective for audits of stockbrokers with year-ends on or after 31 December 2016.</w:t>
                  </w:r>
                </w:p>
              </w:tc>
            </w:tr>
            <w:tr w:rsidR="005D5268" w:rsidRPr="00AF2121" w14:paraId="1AB54002" w14:textId="77777777" w:rsidTr="0008145A">
              <w:tc>
                <w:tcPr>
                  <w:tcW w:w="5766" w:type="dxa"/>
                </w:tcPr>
                <w:p w14:paraId="4330D902" w14:textId="77777777" w:rsidR="005D5268" w:rsidRPr="00F37E35" w:rsidDel="004C1C01" w:rsidRDefault="005D5268" w:rsidP="005D5268">
                  <w:pPr>
                    <w:spacing w:before="120" w:after="120"/>
                    <w:rPr>
                      <w:rFonts w:ascii="Arial" w:hAnsi="Arial" w:cs="Arial"/>
                      <w:sz w:val="22"/>
                      <w:szCs w:val="22"/>
                    </w:rPr>
                  </w:pPr>
                  <w:r w:rsidRPr="00F37E35">
                    <w:rPr>
                      <w:rFonts w:ascii="Arial" w:hAnsi="Arial" w:cs="Arial"/>
                      <w:sz w:val="22"/>
                      <w:szCs w:val="22"/>
                      <w:lang w:val="en-ZA"/>
                    </w:rPr>
                    <w:t>Illustrative South African Reserve Bank Macro-Prudential Foreign Exposure Limit Return Assurance Reports</w:t>
                  </w:r>
                </w:p>
              </w:tc>
              <w:tc>
                <w:tcPr>
                  <w:tcW w:w="3970" w:type="dxa"/>
                </w:tcPr>
                <w:p w14:paraId="4401F8DE" w14:textId="77777777" w:rsidR="005D5268" w:rsidRPr="00AF2121" w:rsidDel="004C1C01" w:rsidRDefault="005D5268" w:rsidP="005D5268">
                  <w:pPr>
                    <w:spacing w:before="120" w:after="120"/>
                    <w:rPr>
                      <w:rFonts w:ascii="Arial" w:hAnsi="Arial" w:cs="Arial"/>
                      <w:sz w:val="22"/>
                      <w:szCs w:val="22"/>
                    </w:rPr>
                  </w:pPr>
                  <w:r>
                    <w:rPr>
                      <w:rFonts w:ascii="Arial" w:hAnsi="Arial" w:cs="Arial"/>
                      <w:sz w:val="22"/>
                      <w:szCs w:val="22"/>
                      <w:lang w:val="en-ZA"/>
                    </w:rPr>
                    <w:t>Effective for audits of</w:t>
                  </w:r>
                  <w:r>
                    <w:rPr>
                      <w:rFonts w:ascii="Arial" w:hAnsi="Arial" w:cs="Arial"/>
                      <w:bCs/>
                      <w:sz w:val="22"/>
                      <w:szCs w:val="22"/>
                      <w:lang w:val="en-ZA"/>
                    </w:rPr>
                    <w:t xml:space="preserve"> authorised dealers with year-ends on or after 31 December 2016.</w:t>
                  </w:r>
                </w:p>
              </w:tc>
            </w:tr>
            <w:tr w:rsidR="005D5268" w:rsidRPr="00AF2121" w14:paraId="562BBDCB" w14:textId="77777777" w:rsidTr="0008145A">
              <w:tc>
                <w:tcPr>
                  <w:tcW w:w="5766" w:type="dxa"/>
                </w:tcPr>
                <w:p w14:paraId="36653AA9" w14:textId="77777777" w:rsidR="005D5268" w:rsidRPr="00641F09" w:rsidRDefault="005D5268" w:rsidP="005D5268">
                  <w:pPr>
                    <w:spacing w:before="120" w:after="120"/>
                    <w:rPr>
                      <w:rFonts w:ascii="Arial" w:hAnsi="Arial" w:cs="Arial"/>
                      <w:sz w:val="22"/>
                      <w:szCs w:val="22"/>
                    </w:rPr>
                  </w:pPr>
                  <w:r w:rsidRPr="00641F09">
                    <w:rPr>
                      <w:rFonts w:ascii="Arial" w:hAnsi="Arial" w:cs="Arial"/>
                      <w:sz w:val="22"/>
                      <w:szCs w:val="22"/>
                    </w:rPr>
                    <w:t>Prescribed Auditor Reports for Medical Schemes</w:t>
                  </w:r>
                </w:p>
              </w:tc>
              <w:tc>
                <w:tcPr>
                  <w:tcW w:w="3970" w:type="dxa"/>
                </w:tcPr>
                <w:p w14:paraId="64882621" w14:textId="77777777" w:rsidR="005D5268" w:rsidRDefault="005D5268" w:rsidP="005D5268">
                  <w:pPr>
                    <w:pStyle w:val="NormalWeb"/>
                    <w:spacing w:before="120" w:beforeAutospacing="0" w:after="120" w:afterAutospacing="0"/>
                    <w:rPr>
                      <w:rFonts w:ascii="Arial" w:hAnsi="Arial" w:cs="Arial"/>
                      <w:sz w:val="22"/>
                      <w:szCs w:val="22"/>
                    </w:rPr>
                  </w:pPr>
                  <w:r>
                    <w:rPr>
                      <w:rFonts w:ascii="Arial" w:hAnsi="Arial" w:cs="Arial"/>
                      <w:sz w:val="22"/>
                      <w:szCs w:val="22"/>
                    </w:rPr>
                    <w:t xml:space="preserve">Effective for medical schemes with year-ends on </w:t>
                  </w:r>
                  <w:r w:rsidRPr="00612570">
                    <w:rPr>
                      <w:rFonts w:ascii="Arial" w:hAnsi="Arial" w:cs="Arial"/>
                      <w:sz w:val="22"/>
                      <w:szCs w:val="22"/>
                    </w:rPr>
                    <w:t>and</w:t>
                  </w:r>
                  <w:r>
                    <w:rPr>
                      <w:rFonts w:ascii="Arial" w:hAnsi="Arial" w:cs="Arial"/>
                      <w:sz w:val="22"/>
                      <w:szCs w:val="22"/>
                    </w:rPr>
                    <w:t xml:space="preserve"> after 31 December 2016.</w:t>
                  </w:r>
                </w:p>
              </w:tc>
            </w:tr>
            <w:tr w:rsidR="005D5268" w:rsidRPr="00AF2121" w14:paraId="7E073E11" w14:textId="77777777" w:rsidTr="0008145A">
              <w:tc>
                <w:tcPr>
                  <w:tcW w:w="5766" w:type="dxa"/>
                </w:tcPr>
                <w:p w14:paraId="671CED9C" w14:textId="27E0FE35" w:rsidR="005D5268" w:rsidRDefault="005D5268" w:rsidP="005D5268">
                  <w:pPr>
                    <w:spacing w:before="120" w:after="120"/>
                    <w:rPr>
                      <w:rFonts w:ascii="Arial" w:hAnsi="Arial" w:cs="Arial"/>
                      <w:b/>
                      <w:bCs/>
                      <w:sz w:val="22"/>
                      <w:szCs w:val="22"/>
                      <w:lang w:eastAsia="en-ZA"/>
                    </w:rPr>
                  </w:pPr>
                  <w:r w:rsidRPr="00641F09">
                    <w:rPr>
                      <w:rFonts w:ascii="Arial" w:hAnsi="Arial" w:cs="Arial"/>
                      <w:sz w:val="22"/>
                      <w:szCs w:val="22"/>
                    </w:rPr>
                    <w:t>Revised Illustrative Engagement Letter, Representation Letter and Auditor</w:t>
                  </w:r>
                  <w:r>
                    <w:rPr>
                      <w:rFonts w:ascii="Arial" w:hAnsi="Arial" w:cs="Arial"/>
                      <w:sz w:val="22"/>
                      <w:szCs w:val="22"/>
                    </w:rPr>
                    <w:t>'</w:t>
                  </w:r>
                  <w:r w:rsidRPr="00641F09">
                    <w:rPr>
                      <w:rFonts w:ascii="Arial" w:hAnsi="Arial" w:cs="Arial"/>
                      <w:sz w:val="22"/>
                      <w:szCs w:val="22"/>
                    </w:rPr>
                    <w:t>s Reports for Engagements on Attorneys</w:t>
                  </w:r>
                  <w:r>
                    <w:rPr>
                      <w:rFonts w:ascii="Arial" w:hAnsi="Arial" w:cs="Arial"/>
                      <w:sz w:val="22"/>
                      <w:szCs w:val="22"/>
                    </w:rPr>
                    <w:t>'</w:t>
                  </w:r>
                  <w:r w:rsidRPr="00641F09">
                    <w:rPr>
                      <w:rFonts w:ascii="Arial" w:hAnsi="Arial" w:cs="Arial"/>
                      <w:sz w:val="22"/>
                      <w:szCs w:val="22"/>
                    </w:rPr>
                    <w:t xml:space="preserve"> Trust Accounts</w:t>
                  </w:r>
                </w:p>
              </w:tc>
              <w:tc>
                <w:tcPr>
                  <w:tcW w:w="3970" w:type="dxa"/>
                </w:tcPr>
                <w:p w14:paraId="5BD463D8" w14:textId="71783F38" w:rsidR="005D5268" w:rsidRDefault="005D5268" w:rsidP="005D5268">
                  <w:pPr>
                    <w:spacing w:before="120" w:after="120"/>
                    <w:rPr>
                      <w:rFonts w:ascii="Arial" w:hAnsi="Arial" w:cs="Arial"/>
                      <w:sz w:val="22"/>
                      <w:szCs w:val="22"/>
                    </w:rPr>
                  </w:pPr>
                  <w:r>
                    <w:rPr>
                      <w:rFonts w:ascii="Arial" w:hAnsi="Arial" w:cs="Arial"/>
                      <w:sz w:val="22"/>
                      <w:szCs w:val="22"/>
                    </w:rPr>
                    <w:t>E</w:t>
                  </w:r>
                  <w:r w:rsidRPr="00641F09">
                    <w:rPr>
                      <w:rFonts w:ascii="Arial" w:hAnsi="Arial" w:cs="Arial"/>
                      <w:sz w:val="22"/>
                      <w:szCs w:val="22"/>
                    </w:rPr>
                    <w:t>ffective for reports issued on or after 15 June 2016 when reporting on attorneys</w:t>
                  </w:r>
                  <w:r>
                    <w:rPr>
                      <w:rFonts w:ascii="Arial" w:hAnsi="Arial" w:cs="Arial"/>
                      <w:sz w:val="22"/>
                      <w:szCs w:val="22"/>
                    </w:rPr>
                    <w:t>'</w:t>
                  </w:r>
                  <w:r w:rsidRPr="00641F09">
                    <w:rPr>
                      <w:rFonts w:ascii="Arial" w:hAnsi="Arial" w:cs="Arial"/>
                      <w:sz w:val="22"/>
                      <w:szCs w:val="22"/>
                    </w:rPr>
                    <w:t xml:space="preserve"> trust accounts for the 2016 financial period end.</w:t>
                  </w:r>
                </w:p>
              </w:tc>
            </w:tr>
          </w:tbl>
          <w:p w14:paraId="76E501E4" w14:textId="77777777" w:rsidR="005D5268" w:rsidRDefault="005D5268" w:rsidP="005D5268"/>
          <w:p w14:paraId="4A868170" w14:textId="0927B8CD" w:rsidR="005D5268" w:rsidRDefault="005D5268" w:rsidP="005D5268">
            <w:pPr>
              <w:pStyle w:val="NormalWeb"/>
              <w:spacing w:before="0" w:beforeAutospacing="0" w:after="120" w:afterAutospacing="0"/>
              <w:jc w:val="both"/>
              <w:rPr>
                <w:rFonts w:ascii="Arial" w:hAnsi="Arial" w:cs="Arial"/>
                <w:sz w:val="22"/>
                <w:szCs w:val="22"/>
              </w:rPr>
            </w:pPr>
            <w:r>
              <w:rPr>
                <w:rFonts w:ascii="Arial" w:hAnsi="Arial" w:cs="Arial"/>
                <w:sz w:val="22"/>
                <w:szCs w:val="22"/>
              </w:rPr>
              <w:t>Details communiques and related pronouncements can be found on the IRBA website.</w:t>
            </w:r>
          </w:p>
          <w:p w14:paraId="25207809" w14:textId="77777777" w:rsidR="005D5268" w:rsidRPr="00F76271" w:rsidRDefault="005D5268" w:rsidP="005D5268">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6"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69A9BCA5" w14:textId="77777777" w:rsidR="005D5268" w:rsidRPr="009A4EED" w:rsidRDefault="005D5268" w:rsidP="005D5268">
            <w:pPr>
              <w:pStyle w:val="NormalWeb"/>
              <w:spacing w:before="0" w:beforeAutospacing="0" w:after="120" w:afterAutospacing="0"/>
              <w:jc w:val="both"/>
              <w:rPr>
                <w:rFonts w:ascii="Arial" w:hAnsi="Arial" w:cs="Arial"/>
                <w:sz w:val="22"/>
                <w:szCs w:val="22"/>
              </w:rPr>
            </w:pPr>
          </w:p>
          <w:p w14:paraId="2FB6FBCE" w14:textId="77777777" w:rsidR="005D5268" w:rsidRPr="00F76271" w:rsidRDefault="005D5268" w:rsidP="005D5268">
            <w:pPr>
              <w:jc w:val="both"/>
              <w:textAlignment w:val="top"/>
              <w:rPr>
                <w:rFonts w:ascii="Arial" w:hAnsi="Arial" w:cs="Arial"/>
                <w:b/>
                <w:sz w:val="22"/>
                <w:szCs w:val="22"/>
                <w:lang w:val="en-GB"/>
              </w:rPr>
            </w:pPr>
          </w:p>
          <w:p w14:paraId="19E6DCF6" w14:textId="77777777" w:rsidR="005D5268" w:rsidRPr="00F76271" w:rsidRDefault="005D5268" w:rsidP="005D5268">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74A51CFB" w14:textId="77777777" w:rsidR="005D5268" w:rsidRDefault="005D5268" w:rsidP="005D5268">
            <w:pPr>
              <w:rPr>
                <w:rFonts w:ascii="Arial" w:hAnsi="Arial" w:cs="Arial"/>
                <w:b/>
                <w:sz w:val="22"/>
                <w:szCs w:val="22"/>
                <w:lang w:val="en-GB"/>
              </w:rPr>
            </w:pPr>
            <w:r w:rsidRPr="00F76271">
              <w:rPr>
                <w:rFonts w:ascii="Arial" w:hAnsi="Arial" w:cs="Arial"/>
                <w:b/>
                <w:sz w:val="22"/>
                <w:szCs w:val="22"/>
                <w:lang w:val="en-GB"/>
              </w:rPr>
              <w:t>Director: Standards</w:t>
            </w:r>
          </w:p>
          <w:p w14:paraId="5DBA1C8B" w14:textId="2420445F" w:rsidR="005D5268" w:rsidRDefault="005D5268" w:rsidP="005D5268">
            <w:pPr>
              <w:rPr>
                <w:rFonts w:ascii="Arial" w:hAnsi="Arial" w:cs="Arial"/>
                <w:b/>
                <w:sz w:val="22"/>
                <w:szCs w:val="22"/>
                <w:lang w:val="en-GB"/>
              </w:rPr>
            </w:pPr>
          </w:p>
          <w:p w14:paraId="04EBA74A" w14:textId="5F7D6CE4" w:rsidR="005D5268" w:rsidRDefault="005D5268" w:rsidP="005D5268">
            <w:pPr>
              <w:rPr>
                <w:rFonts w:ascii="Arial" w:hAnsi="Arial" w:cs="Arial"/>
                <w:b/>
                <w:sz w:val="22"/>
                <w:szCs w:val="22"/>
                <w:lang w:val="en-GB"/>
              </w:rPr>
            </w:pPr>
          </w:p>
          <w:p w14:paraId="1D89E077" w14:textId="77777777" w:rsidR="005D5268" w:rsidRPr="003F3563" w:rsidRDefault="005D5268" w:rsidP="005D5268">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23BAA56A" w14:textId="53E93D94" w:rsidR="005D5268" w:rsidRDefault="005D5268" w:rsidP="005D5268">
            <w:pPr>
              <w:spacing w:after="120"/>
              <w:jc w:val="both"/>
              <w:rPr>
                <w:rFonts w:ascii="Arial" w:hAnsi="Arial" w:cs="Arial"/>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14:paraId="3A684F81" w14:textId="77777777" w:rsidR="00F76271" w:rsidRPr="00F76271" w:rsidRDefault="00F76271" w:rsidP="005D5268">
      <w:pPr>
        <w:spacing w:after="120"/>
        <w:jc w:val="both"/>
        <w:rPr>
          <w:rFonts w:ascii="Arial" w:hAnsi="Arial" w:cs="Arial"/>
          <w:b/>
          <w:i/>
          <w:noProof/>
          <w:sz w:val="20"/>
          <w:szCs w:val="20"/>
          <w:lang w:val="en-GB"/>
        </w:rPr>
      </w:pPr>
    </w:p>
    <w:sectPr w:rsidR="00F76271" w:rsidRPr="00F76271" w:rsidSect="006155A2">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6F07"/>
    <w:multiLevelType w:val="hybridMultilevel"/>
    <w:tmpl w:val="422A950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 w15:restartNumberingAfterBreak="0">
    <w:nsid w:val="3CF40D50"/>
    <w:multiLevelType w:val="hybridMultilevel"/>
    <w:tmpl w:val="B12093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11C18F2"/>
    <w:multiLevelType w:val="multilevel"/>
    <w:tmpl w:val="83B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7286A"/>
    <w:rsid w:val="000954E0"/>
    <w:rsid w:val="000B5AAD"/>
    <w:rsid w:val="000C396D"/>
    <w:rsid w:val="000D079D"/>
    <w:rsid w:val="000E505F"/>
    <w:rsid w:val="00107EC9"/>
    <w:rsid w:val="001B0AAE"/>
    <w:rsid w:val="001C3366"/>
    <w:rsid w:val="001C5EA9"/>
    <w:rsid w:val="00216806"/>
    <w:rsid w:val="0022301E"/>
    <w:rsid w:val="002475AA"/>
    <w:rsid w:val="00287884"/>
    <w:rsid w:val="002A66DA"/>
    <w:rsid w:val="00325538"/>
    <w:rsid w:val="003706C5"/>
    <w:rsid w:val="003B3B87"/>
    <w:rsid w:val="003F3563"/>
    <w:rsid w:val="00417944"/>
    <w:rsid w:val="00436A4E"/>
    <w:rsid w:val="00493E6F"/>
    <w:rsid w:val="004C1C01"/>
    <w:rsid w:val="0050407B"/>
    <w:rsid w:val="00513971"/>
    <w:rsid w:val="00520DA7"/>
    <w:rsid w:val="0055385A"/>
    <w:rsid w:val="00580318"/>
    <w:rsid w:val="005D5268"/>
    <w:rsid w:val="005E5DF3"/>
    <w:rsid w:val="005F263B"/>
    <w:rsid w:val="00612570"/>
    <w:rsid w:val="006155A2"/>
    <w:rsid w:val="00617D69"/>
    <w:rsid w:val="0063111F"/>
    <w:rsid w:val="00641F09"/>
    <w:rsid w:val="00675E98"/>
    <w:rsid w:val="0069527B"/>
    <w:rsid w:val="006A2A11"/>
    <w:rsid w:val="00742F42"/>
    <w:rsid w:val="007625AA"/>
    <w:rsid w:val="00790B9B"/>
    <w:rsid w:val="00794A42"/>
    <w:rsid w:val="007C048E"/>
    <w:rsid w:val="007D6775"/>
    <w:rsid w:val="00830FCD"/>
    <w:rsid w:val="0084262E"/>
    <w:rsid w:val="0086580B"/>
    <w:rsid w:val="008762D7"/>
    <w:rsid w:val="008D1B23"/>
    <w:rsid w:val="009413CF"/>
    <w:rsid w:val="00980EE5"/>
    <w:rsid w:val="00981C35"/>
    <w:rsid w:val="00996590"/>
    <w:rsid w:val="009A2716"/>
    <w:rsid w:val="009A4EED"/>
    <w:rsid w:val="009D7B9B"/>
    <w:rsid w:val="00A067C2"/>
    <w:rsid w:val="00A20C39"/>
    <w:rsid w:val="00A5644A"/>
    <w:rsid w:val="00AF2121"/>
    <w:rsid w:val="00B20317"/>
    <w:rsid w:val="00B21992"/>
    <w:rsid w:val="00B4539C"/>
    <w:rsid w:val="00B66D7B"/>
    <w:rsid w:val="00BB2439"/>
    <w:rsid w:val="00BF7B8E"/>
    <w:rsid w:val="00C10580"/>
    <w:rsid w:val="00D308A9"/>
    <w:rsid w:val="00D3370F"/>
    <w:rsid w:val="00D51256"/>
    <w:rsid w:val="00D9728A"/>
    <w:rsid w:val="00E35A40"/>
    <w:rsid w:val="00E41343"/>
    <w:rsid w:val="00E6511C"/>
    <w:rsid w:val="00EB1ED9"/>
    <w:rsid w:val="00ED031D"/>
    <w:rsid w:val="00EF7368"/>
    <w:rsid w:val="00F0765D"/>
    <w:rsid w:val="00F210C7"/>
    <w:rsid w:val="00F37E35"/>
    <w:rsid w:val="00F42EE8"/>
    <w:rsid w:val="00F54797"/>
    <w:rsid w:val="00F76271"/>
    <w:rsid w:val="00F831E8"/>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DDAF"/>
  <w15:docId w15:val="{AEC3E7F6-6B0A-4DE3-89F5-A02EE4C2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Strong">
    <w:name w:val="Strong"/>
    <w:basedOn w:val="DefaultParagraphFont"/>
    <w:uiPriority w:val="22"/>
    <w:qFormat/>
    <w:rsid w:val="009A4EED"/>
    <w:rPr>
      <w:b/>
      <w:bCs/>
    </w:rPr>
  </w:style>
  <w:style w:type="character" w:styleId="Emphasis">
    <w:name w:val="Emphasis"/>
    <w:basedOn w:val="DefaultParagraphFont"/>
    <w:uiPriority w:val="20"/>
    <w:qFormat/>
    <w:rsid w:val="009A4EED"/>
    <w:rPr>
      <w:i/>
      <w:iCs/>
    </w:rPr>
  </w:style>
  <w:style w:type="character" w:customStyle="1" w:styleId="apple-converted-space">
    <w:name w:val="apple-converted-space"/>
    <w:basedOn w:val="DefaultParagraphFont"/>
    <w:rsid w:val="001C5EA9"/>
  </w:style>
  <w:style w:type="character" w:styleId="CommentReference">
    <w:name w:val="annotation reference"/>
    <w:basedOn w:val="DefaultParagraphFont"/>
    <w:uiPriority w:val="99"/>
    <w:semiHidden/>
    <w:unhideWhenUsed/>
    <w:rsid w:val="00B4539C"/>
    <w:rPr>
      <w:sz w:val="16"/>
      <w:szCs w:val="16"/>
    </w:rPr>
  </w:style>
  <w:style w:type="paragraph" w:styleId="CommentText">
    <w:name w:val="annotation text"/>
    <w:basedOn w:val="Normal"/>
    <w:link w:val="CommentTextChar"/>
    <w:uiPriority w:val="99"/>
    <w:semiHidden/>
    <w:unhideWhenUsed/>
    <w:rsid w:val="00B4539C"/>
    <w:rPr>
      <w:sz w:val="20"/>
      <w:szCs w:val="20"/>
    </w:rPr>
  </w:style>
  <w:style w:type="character" w:customStyle="1" w:styleId="CommentTextChar">
    <w:name w:val="Comment Text Char"/>
    <w:basedOn w:val="DefaultParagraphFont"/>
    <w:link w:val="CommentText"/>
    <w:uiPriority w:val="99"/>
    <w:semiHidden/>
    <w:rsid w:val="00B453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539C"/>
    <w:rPr>
      <w:b/>
      <w:bCs/>
    </w:rPr>
  </w:style>
  <w:style w:type="character" w:customStyle="1" w:styleId="CommentSubjectChar">
    <w:name w:val="Comment Subject Char"/>
    <w:basedOn w:val="CommentTextChar"/>
    <w:link w:val="CommentSubject"/>
    <w:uiPriority w:val="99"/>
    <w:semiHidden/>
    <w:rsid w:val="00B4539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45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9C"/>
    <w:rPr>
      <w:rFonts w:ascii="Segoe UI" w:eastAsia="Times New Roman" w:hAnsi="Segoe UI" w:cs="Segoe UI"/>
      <w:sz w:val="18"/>
      <w:szCs w:val="18"/>
      <w:lang w:val="en-US"/>
    </w:rPr>
  </w:style>
  <w:style w:type="table" w:styleId="TableGrid">
    <w:name w:val="Table Grid"/>
    <w:basedOn w:val="TableNormal"/>
    <w:uiPriority w:val="59"/>
    <w:rsid w:val="0074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656">
      <w:bodyDiv w:val="1"/>
      <w:marLeft w:val="0"/>
      <w:marRight w:val="0"/>
      <w:marTop w:val="0"/>
      <w:marBottom w:val="0"/>
      <w:divBdr>
        <w:top w:val="none" w:sz="0" w:space="0" w:color="auto"/>
        <w:left w:val="none" w:sz="0" w:space="0" w:color="auto"/>
        <w:bottom w:val="none" w:sz="0" w:space="0" w:color="auto"/>
        <w:right w:val="none" w:sz="0" w:space="0" w:color="auto"/>
      </w:divBdr>
    </w:div>
    <w:div w:id="296572837">
      <w:bodyDiv w:val="1"/>
      <w:marLeft w:val="0"/>
      <w:marRight w:val="0"/>
      <w:marTop w:val="0"/>
      <w:marBottom w:val="0"/>
      <w:divBdr>
        <w:top w:val="none" w:sz="0" w:space="0" w:color="auto"/>
        <w:left w:val="none" w:sz="0" w:space="0" w:color="auto"/>
        <w:bottom w:val="none" w:sz="0" w:space="0" w:color="auto"/>
        <w:right w:val="none" w:sz="0" w:space="0" w:color="auto"/>
      </w:divBdr>
    </w:div>
    <w:div w:id="439030955">
      <w:bodyDiv w:val="1"/>
      <w:marLeft w:val="0"/>
      <w:marRight w:val="0"/>
      <w:marTop w:val="0"/>
      <w:marBottom w:val="0"/>
      <w:divBdr>
        <w:top w:val="none" w:sz="0" w:space="0" w:color="auto"/>
        <w:left w:val="none" w:sz="0" w:space="0" w:color="auto"/>
        <w:bottom w:val="none" w:sz="0" w:space="0" w:color="auto"/>
        <w:right w:val="none" w:sz="0" w:space="0" w:color="auto"/>
      </w:divBdr>
    </w:div>
    <w:div w:id="459540777">
      <w:bodyDiv w:val="1"/>
      <w:marLeft w:val="0"/>
      <w:marRight w:val="0"/>
      <w:marTop w:val="0"/>
      <w:marBottom w:val="0"/>
      <w:divBdr>
        <w:top w:val="none" w:sz="0" w:space="0" w:color="auto"/>
        <w:left w:val="none" w:sz="0" w:space="0" w:color="auto"/>
        <w:bottom w:val="none" w:sz="0" w:space="0" w:color="auto"/>
        <w:right w:val="none" w:sz="0" w:space="0" w:color="auto"/>
      </w:divBdr>
    </w:div>
    <w:div w:id="493569738">
      <w:bodyDiv w:val="1"/>
      <w:marLeft w:val="0"/>
      <w:marRight w:val="0"/>
      <w:marTop w:val="0"/>
      <w:marBottom w:val="0"/>
      <w:divBdr>
        <w:top w:val="none" w:sz="0" w:space="0" w:color="auto"/>
        <w:left w:val="none" w:sz="0" w:space="0" w:color="auto"/>
        <w:bottom w:val="none" w:sz="0" w:space="0" w:color="auto"/>
        <w:right w:val="none" w:sz="0" w:space="0" w:color="auto"/>
      </w:divBdr>
    </w:div>
    <w:div w:id="650905708">
      <w:bodyDiv w:val="1"/>
      <w:marLeft w:val="0"/>
      <w:marRight w:val="0"/>
      <w:marTop w:val="0"/>
      <w:marBottom w:val="0"/>
      <w:divBdr>
        <w:top w:val="none" w:sz="0" w:space="0" w:color="auto"/>
        <w:left w:val="none" w:sz="0" w:space="0" w:color="auto"/>
        <w:bottom w:val="none" w:sz="0" w:space="0" w:color="auto"/>
        <w:right w:val="none" w:sz="0" w:space="0" w:color="auto"/>
      </w:divBdr>
    </w:div>
    <w:div w:id="745222363">
      <w:bodyDiv w:val="1"/>
      <w:marLeft w:val="0"/>
      <w:marRight w:val="0"/>
      <w:marTop w:val="0"/>
      <w:marBottom w:val="0"/>
      <w:divBdr>
        <w:top w:val="none" w:sz="0" w:space="0" w:color="auto"/>
        <w:left w:val="none" w:sz="0" w:space="0" w:color="auto"/>
        <w:bottom w:val="none" w:sz="0" w:space="0" w:color="auto"/>
        <w:right w:val="none" w:sz="0" w:space="0" w:color="auto"/>
      </w:divBdr>
    </w:div>
    <w:div w:id="913050802">
      <w:bodyDiv w:val="1"/>
      <w:marLeft w:val="0"/>
      <w:marRight w:val="0"/>
      <w:marTop w:val="0"/>
      <w:marBottom w:val="0"/>
      <w:divBdr>
        <w:top w:val="none" w:sz="0" w:space="0" w:color="auto"/>
        <w:left w:val="none" w:sz="0" w:space="0" w:color="auto"/>
        <w:bottom w:val="none" w:sz="0" w:space="0" w:color="auto"/>
        <w:right w:val="none" w:sz="0" w:space="0" w:color="auto"/>
      </w:divBdr>
    </w:div>
    <w:div w:id="980185662">
      <w:bodyDiv w:val="1"/>
      <w:marLeft w:val="0"/>
      <w:marRight w:val="0"/>
      <w:marTop w:val="0"/>
      <w:marBottom w:val="0"/>
      <w:divBdr>
        <w:top w:val="none" w:sz="0" w:space="0" w:color="auto"/>
        <w:left w:val="none" w:sz="0" w:space="0" w:color="auto"/>
        <w:bottom w:val="none" w:sz="0" w:space="0" w:color="auto"/>
        <w:right w:val="none" w:sz="0" w:space="0" w:color="auto"/>
      </w:divBdr>
    </w:div>
    <w:div w:id="1013147711">
      <w:bodyDiv w:val="1"/>
      <w:marLeft w:val="0"/>
      <w:marRight w:val="0"/>
      <w:marTop w:val="0"/>
      <w:marBottom w:val="0"/>
      <w:divBdr>
        <w:top w:val="none" w:sz="0" w:space="0" w:color="auto"/>
        <w:left w:val="none" w:sz="0" w:space="0" w:color="auto"/>
        <w:bottom w:val="none" w:sz="0" w:space="0" w:color="auto"/>
        <w:right w:val="none" w:sz="0" w:space="0" w:color="auto"/>
      </w:divBdr>
    </w:div>
    <w:div w:id="1337271585">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514296281">
      <w:bodyDiv w:val="1"/>
      <w:marLeft w:val="0"/>
      <w:marRight w:val="0"/>
      <w:marTop w:val="0"/>
      <w:marBottom w:val="0"/>
      <w:divBdr>
        <w:top w:val="none" w:sz="0" w:space="0" w:color="auto"/>
        <w:left w:val="none" w:sz="0" w:space="0" w:color="auto"/>
        <w:bottom w:val="none" w:sz="0" w:space="0" w:color="auto"/>
        <w:right w:val="none" w:sz="0" w:space="0" w:color="auto"/>
      </w:divBdr>
    </w:div>
    <w:div w:id="1575816952">
      <w:bodyDiv w:val="1"/>
      <w:marLeft w:val="0"/>
      <w:marRight w:val="0"/>
      <w:marTop w:val="0"/>
      <w:marBottom w:val="0"/>
      <w:divBdr>
        <w:top w:val="none" w:sz="0" w:space="0" w:color="auto"/>
        <w:left w:val="none" w:sz="0" w:space="0" w:color="auto"/>
        <w:bottom w:val="none" w:sz="0" w:space="0" w:color="auto"/>
        <w:right w:val="none" w:sz="0" w:space="0" w:color="auto"/>
      </w:divBdr>
    </w:div>
    <w:div w:id="1642224765">
      <w:bodyDiv w:val="1"/>
      <w:marLeft w:val="0"/>
      <w:marRight w:val="0"/>
      <w:marTop w:val="0"/>
      <w:marBottom w:val="0"/>
      <w:divBdr>
        <w:top w:val="none" w:sz="0" w:space="0" w:color="auto"/>
        <w:left w:val="none" w:sz="0" w:space="0" w:color="auto"/>
        <w:bottom w:val="none" w:sz="0" w:space="0" w:color="auto"/>
        <w:right w:val="none" w:sz="0" w:space="0" w:color="auto"/>
      </w:divBdr>
    </w:div>
    <w:div w:id="1820538071">
      <w:bodyDiv w:val="1"/>
      <w:marLeft w:val="0"/>
      <w:marRight w:val="0"/>
      <w:marTop w:val="0"/>
      <w:marBottom w:val="0"/>
      <w:divBdr>
        <w:top w:val="none" w:sz="0" w:space="0" w:color="auto"/>
        <w:left w:val="none" w:sz="0" w:space="0" w:color="auto"/>
        <w:bottom w:val="none" w:sz="0" w:space="0" w:color="auto"/>
        <w:right w:val="none" w:sz="0" w:space="0" w:color="auto"/>
      </w:divBdr>
    </w:div>
    <w:div w:id="1834639834">
      <w:bodyDiv w:val="1"/>
      <w:marLeft w:val="0"/>
      <w:marRight w:val="0"/>
      <w:marTop w:val="0"/>
      <w:marBottom w:val="0"/>
      <w:divBdr>
        <w:top w:val="none" w:sz="0" w:space="0" w:color="auto"/>
        <w:left w:val="none" w:sz="0" w:space="0" w:color="auto"/>
        <w:bottom w:val="none" w:sz="0" w:space="0" w:color="auto"/>
        <w:right w:val="none" w:sz="0" w:space="0" w:color="auto"/>
      </w:divBdr>
    </w:div>
    <w:div w:id="18392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dards@irba.co.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6D50-5472-44DF-868B-79583F05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2017-01-09T07:27:00Z</cp:lastPrinted>
  <dcterms:created xsi:type="dcterms:W3CDTF">2017-02-06T14:20:00Z</dcterms:created>
  <dcterms:modified xsi:type="dcterms:W3CDTF">2017-02-07T07:20:00Z</dcterms:modified>
</cp:coreProperties>
</file>