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11" w:type="dxa"/>
        <w:tblCellSpacing w:w="15" w:type="dxa"/>
        <w:tblCellMar>
          <w:left w:w="0" w:type="dxa"/>
          <w:right w:w="0" w:type="dxa"/>
        </w:tblCellMar>
        <w:tblLook w:val="0000" w:firstRow="0" w:lastRow="0" w:firstColumn="0" w:lastColumn="0" w:noHBand="0" w:noVBand="0"/>
      </w:tblPr>
      <w:tblGrid>
        <w:gridCol w:w="8811"/>
      </w:tblGrid>
      <w:tr w:rsidR="001D09E4" w:rsidRPr="007279B3" w:rsidTr="006A71D7">
        <w:trPr>
          <w:trHeight w:val="1747"/>
          <w:tblCellSpacing w:w="15" w:type="dxa"/>
        </w:trPr>
        <w:tc>
          <w:tcPr>
            <w:tcW w:w="8751" w:type="dxa"/>
          </w:tcPr>
          <w:tbl>
            <w:tblPr>
              <w:tblStyle w:val="TableGrid"/>
              <w:tblW w:w="0" w:type="auto"/>
              <w:tblLook w:val="04A0" w:firstRow="1" w:lastRow="0" w:firstColumn="1" w:lastColumn="0" w:noHBand="0" w:noVBand="1"/>
            </w:tblPr>
            <w:tblGrid>
              <w:gridCol w:w="8736"/>
            </w:tblGrid>
            <w:tr w:rsidR="00150737" w:rsidTr="00150737">
              <w:tc>
                <w:tcPr>
                  <w:tcW w:w="8736" w:type="dxa"/>
                  <w:tcBorders>
                    <w:top w:val="single" w:sz="4" w:space="0" w:color="auto"/>
                    <w:left w:val="nil"/>
                    <w:bottom w:val="single" w:sz="4" w:space="0" w:color="auto"/>
                    <w:right w:val="nil"/>
                  </w:tcBorders>
                </w:tcPr>
                <w:p w:rsidR="00150737" w:rsidRDefault="00150737" w:rsidP="00150737">
                  <w:pPr>
                    <w:spacing w:before="120" w:after="120" w:line="276" w:lineRule="auto"/>
                    <w:jc w:val="center"/>
                    <w:rPr>
                      <w:rFonts w:ascii="Arial" w:hAnsi="Arial" w:cs="Arial"/>
                      <w:b/>
                      <w:bCs/>
                      <w:color w:val="CC0000"/>
                      <w:lang w:val="en-GB"/>
                    </w:rPr>
                  </w:pPr>
                  <w:bookmarkStart w:id="0" w:name="Text2"/>
                  <w:bookmarkEnd w:id="0"/>
                  <w:r w:rsidRPr="007279B3">
                    <w:rPr>
                      <w:rFonts w:ascii="Arial" w:hAnsi="Arial" w:cs="Arial"/>
                      <w:b/>
                      <w:bCs/>
                      <w:color w:val="CC0000"/>
                      <w:lang w:val="en-GB"/>
                    </w:rPr>
                    <w:t>INDEPENDENT REGULATORY BOARD FOR AUDITORS</w:t>
                  </w:r>
                </w:p>
                <w:p w:rsidR="00150737" w:rsidRDefault="00150737" w:rsidP="00150737">
                  <w:pPr>
                    <w:spacing w:before="120" w:after="120" w:line="276" w:lineRule="auto"/>
                    <w:jc w:val="center"/>
                    <w:rPr>
                      <w:rFonts w:ascii="Arial" w:hAnsi="Arial" w:cs="Arial"/>
                      <w:b/>
                      <w:sz w:val="22"/>
                      <w:szCs w:val="22"/>
                    </w:rPr>
                  </w:pPr>
                  <w:r>
                    <w:rPr>
                      <w:rFonts w:ascii="Arial" w:hAnsi="Arial" w:cs="Arial"/>
                      <w:b/>
                      <w:bCs/>
                      <w:color w:val="CC0000"/>
                      <w:lang w:val="en-GB"/>
                    </w:rPr>
                    <w:t>COMMITTEE FOR AUDITOR ETHICS</w:t>
                  </w:r>
                </w:p>
              </w:tc>
            </w:tr>
          </w:tbl>
          <w:p w:rsidR="00ED2AF9" w:rsidRDefault="00ED2AF9" w:rsidP="00ED2AF9">
            <w:pPr>
              <w:spacing w:before="120" w:after="120" w:line="276" w:lineRule="auto"/>
              <w:jc w:val="center"/>
              <w:rPr>
                <w:rFonts w:ascii="Arial" w:hAnsi="Arial" w:cs="Arial"/>
                <w:b/>
                <w:sz w:val="22"/>
                <w:szCs w:val="22"/>
              </w:rPr>
            </w:pPr>
          </w:p>
          <w:tbl>
            <w:tblPr>
              <w:tblStyle w:val="TableGrid"/>
              <w:tblW w:w="0" w:type="auto"/>
              <w:tblLook w:val="04A0" w:firstRow="1" w:lastRow="0" w:firstColumn="1" w:lastColumn="0" w:noHBand="0" w:noVBand="1"/>
            </w:tblPr>
            <w:tblGrid>
              <w:gridCol w:w="8736"/>
            </w:tblGrid>
            <w:tr w:rsidR="00150737" w:rsidTr="00150737">
              <w:tc>
                <w:tcPr>
                  <w:tcW w:w="8736" w:type="dxa"/>
                  <w:tcBorders>
                    <w:top w:val="nil"/>
                    <w:left w:val="nil"/>
                    <w:bottom w:val="nil"/>
                    <w:right w:val="nil"/>
                  </w:tcBorders>
                </w:tcPr>
                <w:p w:rsidR="00150737" w:rsidRDefault="00150737" w:rsidP="00150737">
                  <w:pPr>
                    <w:spacing w:before="120" w:after="120" w:line="276" w:lineRule="auto"/>
                    <w:jc w:val="center"/>
                    <w:rPr>
                      <w:rFonts w:ascii="Arial" w:hAnsi="Arial" w:cs="Arial"/>
                      <w:b/>
                      <w:sz w:val="22"/>
                      <w:szCs w:val="22"/>
                    </w:rPr>
                  </w:pPr>
                  <w:r>
                    <w:rPr>
                      <w:rFonts w:ascii="Arial" w:hAnsi="Arial" w:cs="Arial"/>
                      <w:b/>
                      <w:sz w:val="22"/>
                      <w:szCs w:val="22"/>
                    </w:rPr>
                    <w:t>REMINDER: IRBA Code amendments relating to Non-Compliance with Laws and Regulations become effective as of 15 July 2017</w:t>
                  </w:r>
                </w:p>
                <w:p w:rsidR="00150737" w:rsidRDefault="00031F94" w:rsidP="00150737">
                  <w:pPr>
                    <w:spacing w:before="120" w:after="240" w:line="276" w:lineRule="auto"/>
                    <w:jc w:val="center"/>
                    <w:rPr>
                      <w:rFonts w:ascii="Arial" w:hAnsi="Arial" w:cs="Arial"/>
                      <w:sz w:val="22"/>
                      <w:szCs w:val="22"/>
                      <w:lang w:val="en-GB"/>
                    </w:rPr>
                  </w:pPr>
                  <w:r>
                    <w:rPr>
                      <w:rFonts w:ascii="Arial" w:hAnsi="Arial" w:cs="Arial"/>
                      <w:sz w:val="22"/>
                      <w:szCs w:val="22"/>
                      <w:lang w:val="en-GB"/>
                    </w:rPr>
                    <w:t>Johannesburg / 11 Ju</w:t>
                  </w:r>
                  <w:r w:rsidR="00150737">
                    <w:rPr>
                      <w:rFonts w:ascii="Arial" w:hAnsi="Arial" w:cs="Arial"/>
                      <w:sz w:val="22"/>
                      <w:szCs w:val="22"/>
                      <w:lang w:val="en-GB"/>
                    </w:rPr>
                    <w:t>ly 2017</w:t>
                  </w:r>
                </w:p>
                <w:p w:rsidR="00150737" w:rsidRPr="00A06790" w:rsidRDefault="00150737" w:rsidP="00150737">
                  <w:pPr>
                    <w:keepNext/>
                    <w:keepLines/>
                    <w:tabs>
                      <w:tab w:val="left" w:pos="9326"/>
                    </w:tabs>
                    <w:spacing w:after="120" w:line="276" w:lineRule="auto"/>
                    <w:ind w:right="253"/>
                    <w:jc w:val="both"/>
                    <w:rPr>
                      <w:rFonts w:ascii="Arial" w:hAnsi="Arial" w:cs="Arial"/>
                      <w:sz w:val="22"/>
                      <w:szCs w:val="22"/>
                    </w:rPr>
                  </w:pPr>
                  <w:r w:rsidRPr="00A06790">
                    <w:rPr>
                      <w:rFonts w:ascii="Arial" w:hAnsi="Arial" w:cs="Arial"/>
                      <w:sz w:val="22"/>
                      <w:szCs w:val="22"/>
                    </w:rPr>
                    <w:t xml:space="preserve">Registered auditors and other interested parties are reminded that the amendments to the IRBA Code of Professional Conduct (IRBA Code) for Registered Auditors, </w:t>
                  </w:r>
                  <w:r w:rsidRPr="00A06790">
                    <w:rPr>
                      <w:rFonts w:ascii="Arial" w:hAnsi="Arial" w:cs="Arial"/>
                      <w:i/>
                      <w:sz w:val="22"/>
                      <w:szCs w:val="22"/>
                    </w:rPr>
                    <w:t>Responding to Non-Compliance with Laws and Regulations (NOCLAR)</w:t>
                  </w:r>
                  <w:r w:rsidRPr="00A06790">
                    <w:rPr>
                      <w:rFonts w:ascii="Arial" w:hAnsi="Arial" w:cs="Arial"/>
                      <w:sz w:val="22"/>
                      <w:szCs w:val="22"/>
                    </w:rPr>
                    <w:t xml:space="preserve">, will be effective as of 15 July 2017. The amendments to the IRBA Code may be downloaded from the </w:t>
                  </w:r>
                  <w:hyperlink r:id="rId8" w:history="1">
                    <w:r w:rsidRPr="00A06790">
                      <w:rPr>
                        <w:rStyle w:val="Hyperlink"/>
                        <w:rFonts w:ascii="Arial" w:hAnsi="Arial" w:cs="Arial"/>
                        <w:sz w:val="22"/>
                        <w:szCs w:val="22"/>
                      </w:rPr>
                      <w:t>IRBA website</w:t>
                    </w:r>
                  </w:hyperlink>
                  <w:r w:rsidRPr="00A06790">
                    <w:rPr>
                      <w:rFonts w:ascii="Arial" w:hAnsi="Arial" w:cs="Arial"/>
                      <w:sz w:val="22"/>
                      <w:szCs w:val="22"/>
                    </w:rPr>
                    <w:t>.</w:t>
                  </w:r>
                </w:p>
                <w:p w:rsidR="00150737" w:rsidRPr="00DC16DE" w:rsidRDefault="00150737" w:rsidP="00150737">
                  <w:pPr>
                    <w:keepNext/>
                    <w:keepLines/>
                    <w:tabs>
                      <w:tab w:val="left" w:pos="9326"/>
                    </w:tabs>
                    <w:spacing w:after="120" w:line="276" w:lineRule="auto"/>
                    <w:ind w:right="253"/>
                    <w:jc w:val="both"/>
                    <w:rPr>
                      <w:rFonts w:ascii="Arial" w:hAnsi="Arial" w:cs="Arial"/>
                      <w:sz w:val="22"/>
                      <w:szCs w:val="22"/>
                    </w:rPr>
                  </w:pPr>
                  <w:r w:rsidRPr="00DC16DE">
                    <w:rPr>
                      <w:rFonts w:ascii="Arial" w:hAnsi="Arial" w:cs="Arial"/>
                      <w:sz w:val="22"/>
                      <w:szCs w:val="22"/>
                    </w:rPr>
                    <w:t>According to paragraph 225.2 of the IRBA Code of Professional Conduct</w:t>
                  </w:r>
                  <w:r>
                    <w:rPr>
                      <w:rFonts w:ascii="Arial" w:hAnsi="Arial" w:cs="Arial"/>
                      <w:sz w:val="22"/>
                      <w:szCs w:val="22"/>
                    </w:rPr>
                    <w:t>,</w:t>
                  </w:r>
                  <w:r w:rsidRPr="00DC16DE">
                    <w:rPr>
                      <w:rFonts w:ascii="Arial" w:hAnsi="Arial" w:cs="Arial"/>
                      <w:sz w:val="22"/>
                      <w:szCs w:val="22"/>
                    </w:rPr>
                    <w:t xml:space="preserve"> </w:t>
                  </w:r>
                  <w:r>
                    <w:rPr>
                      <w:rFonts w:ascii="Arial" w:hAnsi="Arial" w:cs="Arial"/>
                      <w:sz w:val="22"/>
                      <w:szCs w:val="22"/>
                    </w:rPr>
                    <w:t>'</w:t>
                  </w:r>
                  <w:r w:rsidRPr="00DC16DE">
                    <w:rPr>
                      <w:rFonts w:ascii="Arial" w:hAnsi="Arial" w:cs="Arial"/>
                      <w:sz w:val="22"/>
                      <w:szCs w:val="22"/>
                    </w:rPr>
                    <w:t>non-complia</w:t>
                  </w:r>
                  <w:r>
                    <w:rPr>
                      <w:rFonts w:ascii="Arial" w:hAnsi="Arial" w:cs="Arial"/>
                      <w:sz w:val="22"/>
                      <w:szCs w:val="22"/>
                    </w:rPr>
                    <w:t>nce with laws and regulations ('</w:t>
                  </w:r>
                  <w:r w:rsidRPr="00DC16DE">
                    <w:rPr>
                      <w:rFonts w:ascii="Arial" w:hAnsi="Arial" w:cs="Arial"/>
                      <w:sz w:val="22"/>
                      <w:szCs w:val="22"/>
                    </w:rPr>
                    <w:t>non-compliance</w:t>
                  </w:r>
                  <w:r>
                    <w:rPr>
                      <w:rFonts w:ascii="Arial" w:hAnsi="Arial" w:cs="Arial"/>
                      <w:sz w:val="22"/>
                      <w:szCs w:val="22"/>
                    </w:rPr>
                    <w:t>'</w:t>
                  </w:r>
                  <w:r w:rsidRPr="00DC16DE">
                    <w:rPr>
                      <w:rFonts w:ascii="Arial" w:hAnsi="Arial" w:cs="Arial"/>
                      <w:sz w:val="22"/>
                      <w:szCs w:val="22"/>
                    </w:rPr>
                    <w:t>) comprises acts of omission or commission, intentional or unintentional, committed by a client, o</w:t>
                  </w:r>
                  <w:bookmarkStart w:id="1" w:name="_GoBack"/>
                  <w:bookmarkEnd w:id="1"/>
                  <w:r w:rsidRPr="00DC16DE">
                    <w:rPr>
                      <w:rFonts w:ascii="Arial" w:hAnsi="Arial" w:cs="Arial"/>
                      <w:sz w:val="22"/>
                      <w:szCs w:val="22"/>
                    </w:rPr>
                    <w:t>r by those charged with governance, by management or by other individuals working for or under the direction of a client which are contrary to the prevailing laws or regulations</w:t>
                  </w:r>
                  <w:r>
                    <w:rPr>
                      <w:rFonts w:ascii="Arial" w:hAnsi="Arial" w:cs="Arial"/>
                      <w:sz w:val="22"/>
                      <w:szCs w:val="22"/>
                    </w:rPr>
                    <w:t>'.</w:t>
                  </w:r>
                </w:p>
                <w:p w:rsidR="00150737" w:rsidRPr="00ED69AF" w:rsidRDefault="00150737" w:rsidP="00150737">
                  <w:pPr>
                    <w:keepNext/>
                    <w:keepLines/>
                    <w:tabs>
                      <w:tab w:val="left" w:pos="9326"/>
                    </w:tabs>
                    <w:spacing w:after="120" w:line="276" w:lineRule="auto"/>
                    <w:ind w:right="253"/>
                    <w:jc w:val="both"/>
                    <w:rPr>
                      <w:rFonts w:ascii="Arial" w:hAnsi="Arial" w:cs="Arial"/>
                      <w:sz w:val="22"/>
                      <w:szCs w:val="22"/>
                    </w:rPr>
                  </w:pPr>
                  <w:r>
                    <w:rPr>
                      <w:rFonts w:ascii="Arial" w:hAnsi="Arial" w:cs="Arial"/>
                      <w:sz w:val="22"/>
                      <w:szCs w:val="22"/>
                    </w:rPr>
                    <w:t>T</w:t>
                  </w:r>
                  <w:r w:rsidRPr="00ED69AF">
                    <w:rPr>
                      <w:rFonts w:ascii="Arial" w:hAnsi="Arial" w:cs="Arial"/>
                      <w:sz w:val="22"/>
                      <w:szCs w:val="22"/>
                    </w:rPr>
                    <w:t>he Committee for Auditor Ethics (CFAE) is currently working on Frequently Asked Questions (FAQs) relating to NOCLAR</w:t>
                  </w:r>
                  <w:r>
                    <w:rPr>
                      <w:rFonts w:ascii="Arial" w:hAnsi="Arial" w:cs="Arial"/>
                      <w:sz w:val="22"/>
                      <w:szCs w:val="22"/>
                    </w:rPr>
                    <w:t xml:space="preserve"> for registered auditors</w:t>
                  </w:r>
                  <w:r w:rsidRPr="00ED69AF">
                    <w:rPr>
                      <w:rFonts w:ascii="Arial" w:hAnsi="Arial" w:cs="Arial"/>
                      <w:sz w:val="22"/>
                      <w:szCs w:val="22"/>
                    </w:rPr>
                    <w:t xml:space="preserve"> in South Africa.</w:t>
                  </w:r>
                  <w:r>
                    <w:rPr>
                      <w:rFonts w:ascii="Arial" w:hAnsi="Arial" w:cs="Arial"/>
                      <w:sz w:val="22"/>
                      <w:szCs w:val="22"/>
                    </w:rPr>
                    <w:t xml:space="preserve"> Registered auditors will be notified via a communique once the FAQs are released.</w:t>
                  </w:r>
                </w:p>
                <w:p w:rsidR="00150737" w:rsidRPr="00B67C8C" w:rsidRDefault="00150737" w:rsidP="00150737">
                  <w:pPr>
                    <w:keepNext/>
                    <w:keepLines/>
                    <w:tabs>
                      <w:tab w:val="left" w:pos="9326"/>
                    </w:tabs>
                    <w:spacing w:after="120" w:line="276" w:lineRule="auto"/>
                    <w:ind w:right="253"/>
                    <w:jc w:val="both"/>
                    <w:rPr>
                      <w:rFonts w:ascii="Arial" w:hAnsi="Arial" w:cs="Arial"/>
                      <w:sz w:val="22"/>
                      <w:szCs w:val="22"/>
                    </w:rPr>
                  </w:pPr>
                  <w:r w:rsidRPr="00B67C8C">
                    <w:rPr>
                      <w:rFonts w:ascii="Arial" w:hAnsi="Arial" w:cs="Arial"/>
                      <w:sz w:val="22"/>
                      <w:szCs w:val="22"/>
                    </w:rPr>
                    <w:t xml:space="preserve">In the interim, registered auditors may find the </w:t>
                  </w:r>
                  <w:hyperlink r:id="rId9" w:history="1">
                    <w:r w:rsidRPr="00B67C8C">
                      <w:rPr>
                        <w:rStyle w:val="Hyperlink"/>
                        <w:rFonts w:ascii="Arial" w:hAnsi="Arial" w:cs="Arial"/>
                        <w:sz w:val="22"/>
                        <w:szCs w:val="22"/>
                      </w:rPr>
                      <w:t>IESBA Frequently Asked Questions for Professional Accountants in Public Practice</w:t>
                    </w:r>
                  </w:hyperlink>
                  <w:r w:rsidRPr="00B67C8C">
                    <w:rPr>
                      <w:rFonts w:ascii="Arial" w:hAnsi="Arial" w:cs="Arial"/>
                      <w:sz w:val="22"/>
                      <w:szCs w:val="22"/>
                    </w:rPr>
                    <w:t xml:space="preserve"> helpful guidance.</w:t>
                  </w:r>
                </w:p>
                <w:p w:rsidR="00150737" w:rsidRPr="00ED69AF" w:rsidRDefault="00150737" w:rsidP="00150737">
                  <w:pPr>
                    <w:keepNext/>
                    <w:keepLines/>
                    <w:tabs>
                      <w:tab w:val="left" w:pos="9326"/>
                    </w:tabs>
                    <w:spacing w:after="120" w:line="276" w:lineRule="auto"/>
                    <w:ind w:right="253"/>
                    <w:jc w:val="both"/>
                    <w:rPr>
                      <w:rFonts w:ascii="Arial" w:hAnsi="Arial" w:cs="Arial"/>
                      <w:sz w:val="22"/>
                      <w:szCs w:val="22"/>
                    </w:rPr>
                  </w:pPr>
                  <w:r>
                    <w:rPr>
                      <w:rFonts w:ascii="Arial" w:hAnsi="Arial" w:cs="Arial"/>
                      <w:sz w:val="22"/>
                      <w:szCs w:val="22"/>
                    </w:rPr>
                    <w:t>We also urge professional accountants in business (PAIBs), to be alert to corresponding amendments to Part C of the IESBA Code of Ethics and the SAICA Code of Professional Conduct</w:t>
                  </w:r>
                  <w:r w:rsidRPr="0076769B">
                    <w:rPr>
                      <w:rFonts w:ascii="Arial" w:hAnsi="Arial" w:cs="Arial"/>
                      <w:sz w:val="22"/>
                      <w:szCs w:val="22"/>
                    </w:rPr>
                    <w:t xml:space="preserve"> in deciding how best to act in the public interest when they become aware of </w:t>
                  </w:r>
                  <w:r>
                    <w:rPr>
                      <w:rFonts w:ascii="Arial" w:hAnsi="Arial" w:cs="Arial"/>
                      <w:sz w:val="22"/>
                      <w:szCs w:val="22"/>
                    </w:rPr>
                    <w:t>NOCLAR</w:t>
                  </w:r>
                  <w:r w:rsidRPr="0076769B">
                    <w:rPr>
                      <w:rFonts w:ascii="Arial" w:hAnsi="Arial" w:cs="Arial"/>
                      <w:sz w:val="22"/>
                      <w:szCs w:val="22"/>
                    </w:rPr>
                    <w:t>.</w:t>
                  </w:r>
                </w:p>
                <w:p w:rsidR="00150737" w:rsidRPr="0076769B" w:rsidRDefault="00150737" w:rsidP="00150737">
                  <w:pPr>
                    <w:pStyle w:val="NormalWeb"/>
                    <w:spacing w:before="0" w:beforeAutospacing="0" w:after="360" w:afterAutospacing="0" w:line="276" w:lineRule="auto"/>
                    <w:ind w:right="259"/>
                    <w:jc w:val="both"/>
                    <w:rPr>
                      <w:rFonts w:ascii="Arial" w:hAnsi="Arial" w:cs="Arial"/>
                      <w:sz w:val="22"/>
                      <w:szCs w:val="22"/>
                    </w:rPr>
                  </w:pPr>
                  <w:r>
                    <w:rPr>
                      <w:rFonts w:ascii="Arial" w:hAnsi="Arial" w:cs="Arial"/>
                      <w:sz w:val="22"/>
                      <w:szCs w:val="22"/>
                    </w:rPr>
                    <w:t xml:space="preserve">Should you have any further queries, please send an email to </w:t>
                  </w:r>
                  <w:hyperlink r:id="rId10" w:history="1">
                    <w:r>
                      <w:rPr>
                        <w:rStyle w:val="Hyperlink"/>
                        <w:rFonts w:ascii="Arial" w:hAnsi="Arial" w:cs="Arial"/>
                        <w:color w:val="3300CC"/>
                        <w:sz w:val="22"/>
                        <w:szCs w:val="22"/>
                      </w:rPr>
                      <w:t>standards@irba.co.za</w:t>
                    </w:r>
                  </w:hyperlink>
                  <w:r>
                    <w:rPr>
                      <w:rFonts w:ascii="Arial" w:hAnsi="Arial" w:cs="Arial"/>
                      <w:sz w:val="22"/>
                      <w:szCs w:val="22"/>
                    </w:rPr>
                    <w:t>.</w:t>
                  </w:r>
                </w:p>
                <w:p w:rsidR="00150737" w:rsidRPr="00394559" w:rsidRDefault="00150737" w:rsidP="00150737">
                  <w:pPr>
                    <w:spacing w:after="120" w:line="276" w:lineRule="auto"/>
                    <w:jc w:val="both"/>
                    <w:textAlignment w:val="top"/>
                    <w:rPr>
                      <w:rFonts w:ascii="Arial" w:hAnsi="Arial" w:cs="Arial"/>
                      <w:b/>
                      <w:sz w:val="22"/>
                      <w:szCs w:val="22"/>
                      <w:lang w:val="en-ZA"/>
                    </w:rPr>
                  </w:pPr>
                  <w:r>
                    <w:rPr>
                      <w:rFonts w:ascii="Arial" w:hAnsi="Arial" w:cs="Arial"/>
                      <w:b/>
                      <w:sz w:val="22"/>
                      <w:szCs w:val="22"/>
                      <w:lang w:val="en-GB"/>
                    </w:rPr>
                    <w:t>Imran Vanker</w:t>
                  </w:r>
                </w:p>
                <w:p w:rsidR="00150737" w:rsidRDefault="00150737" w:rsidP="00150737">
                  <w:pPr>
                    <w:spacing w:after="240" w:line="276" w:lineRule="auto"/>
                    <w:rPr>
                      <w:rFonts w:ascii="Arial" w:hAnsi="Arial" w:cs="Arial"/>
                      <w:b/>
                      <w:sz w:val="22"/>
                      <w:szCs w:val="22"/>
                      <w:lang w:val="en-GB"/>
                    </w:rPr>
                  </w:pPr>
                  <w:r w:rsidRPr="007279B3">
                    <w:rPr>
                      <w:rFonts w:ascii="Arial" w:hAnsi="Arial" w:cs="Arial"/>
                      <w:b/>
                      <w:sz w:val="22"/>
                      <w:szCs w:val="22"/>
                      <w:lang w:val="en-GB"/>
                    </w:rPr>
                    <w:t>Director: Standards</w:t>
                  </w:r>
                </w:p>
                <w:p w:rsidR="00150737" w:rsidRPr="00325494" w:rsidRDefault="00150737" w:rsidP="00150737">
                  <w:pPr>
                    <w:spacing w:after="60" w:line="276" w:lineRule="auto"/>
                    <w:rPr>
                      <w:rFonts w:ascii="Arial" w:hAnsi="Arial" w:cs="Arial"/>
                      <w:b/>
                      <w:i/>
                      <w:noProof/>
                      <w:sz w:val="20"/>
                      <w:szCs w:val="20"/>
                      <w:lang w:val="en-GB"/>
                    </w:rPr>
                  </w:pPr>
                  <w:r w:rsidRPr="00325494">
                    <w:rPr>
                      <w:rFonts w:ascii="Arial" w:hAnsi="Arial" w:cs="Arial"/>
                      <w:b/>
                      <w:i/>
                      <w:noProof/>
                      <w:sz w:val="20"/>
                      <w:szCs w:val="20"/>
                      <w:lang w:val="en-GB"/>
                    </w:rPr>
                    <w:t>About the IRBA</w:t>
                  </w:r>
                </w:p>
                <w:p w:rsidR="00150737" w:rsidRDefault="00150737" w:rsidP="00150737">
                  <w:pPr>
                    <w:spacing w:after="60" w:line="276" w:lineRule="auto"/>
                    <w:ind w:right="232"/>
                    <w:jc w:val="both"/>
                    <w:rPr>
                      <w:rFonts w:ascii="Arial" w:hAnsi="Arial" w:cs="Arial"/>
                      <w:i/>
                      <w:noProof/>
                      <w:sz w:val="18"/>
                      <w:szCs w:val="18"/>
                      <w:lang w:val="en-GB"/>
                    </w:rPr>
                  </w:pPr>
                  <w:r w:rsidRPr="00AA450F">
                    <w:rPr>
                      <w:rFonts w:ascii="Arial" w:hAnsi="Arial" w:cs="Arial"/>
                      <w:i/>
                      <w:noProof/>
                      <w:sz w:val="18"/>
                      <w:szCs w:val="18"/>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r>
                    <w:rPr>
                      <w:rFonts w:ascii="Arial" w:hAnsi="Arial" w:cs="Arial"/>
                      <w:i/>
                      <w:noProof/>
                      <w:sz w:val="18"/>
                      <w:szCs w:val="18"/>
                      <w:lang w:val="en-GB"/>
                    </w:rPr>
                    <w:t xml:space="preserve">. </w:t>
                  </w:r>
                </w:p>
                <w:p w:rsidR="00150737" w:rsidRDefault="00150737" w:rsidP="00150737">
                  <w:pPr>
                    <w:spacing w:before="120" w:after="120" w:line="276" w:lineRule="auto"/>
                    <w:rPr>
                      <w:rFonts w:ascii="Arial" w:hAnsi="Arial" w:cs="Arial"/>
                      <w:b/>
                      <w:sz w:val="22"/>
                      <w:szCs w:val="22"/>
                    </w:rPr>
                  </w:pPr>
                  <w:r w:rsidRPr="00186B29">
                    <w:rPr>
                      <w:rFonts w:ascii="Arial" w:hAnsi="Arial" w:cs="Arial"/>
                      <w:bCs/>
                      <w:i/>
                      <w:iCs/>
                      <w:sz w:val="18"/>
                      <w:szCs w:val="18"/>
                      <w:lang w:val="en-GB"/>
                    </w:rPr>
                    <w:t>The statutory responsibilit</w:t>
                  </w:r>
                  <w:r>
                    <w:rPr>
                      <w:rFonts w:ascii="Arial" w:hAnsi="Arial" w:cs="Arial"/>
                      <w:bCs/>
                      <w:i/>
                      <w:iCs/>
                      <w:sz w:val="18"/>
                      <w:szCs w:val="18"/>
                      <w:lang w:val="en-GB"/>
                    </w:rPr>
                    <w:t>ies</w:t>
                  </w:r>
                  <w:r w:rsidRPr="00186B29">
                    <w:rPr>
                      <w:rFonts w:ascii="Arial" w:hAnsi="Arial" w:cs="Arial"/>
                      <w:bCs/>
                      <w:i/>
                      <w:iCs/>
                      <w:sz w:val="18"/>
                      <w:szCs w:val="18"/>
                      <w:lang w:val="en-GB"/>
                    </w:rPr>
                    <w:t xml:space="preserve"> of the CFAE </w:t>
                  </w:r>
                  <w:r>
                    <w:rPr>
                      <w:rFonts w:ascii="Arial" w:hAnsi="Arial" w:cs="Arial"/>
                      <w:bCs/>
                      <w:i/>
                      <w:iCs/>
                      <w:sz w:val="18"/>
                      <w:szCs w:val="18"/>
                      <w:lang w:val="en-GB"/>
                    </w:rPr>
                    <w:t>are</w:t>
                  </w:r>
                  <w:r w:rsidRPr="00186B29">
                    <w:rPr>
                      <w:rFonts w:ascii="Arial" w:hAnsi="Arial" w:cs="Arial"/>
                      <w:bCs/>
                      <w:i/>
                      <w:iCs/>
                      <w:sz w:val="18"/>
                      <w:szCs w:val="18"/>
                      <w:lang w:val="en-GB"/>
                    </w:rPr>
                    <w:t xml:space="preserve"> to assist the IRBA to determine what constitutes improper conduct by registered auditors by developing rules and guidelines for professional ethics, including a code of professional conduct; to interact on any matter relating to its functions and powers with professional bodies and any other body or organ of state with an interest in the auditing profession; and to provide advice to registered auditors on matters of professional ethics and conduct</w:t>
                  </w:r>
                  <w:r>
                    <w:rPr>
                      <w:rFonts w:ascii="Arial" w:hAnsi="Arial" w:cs="Arial"/>
                      <w:bCs/>
                      <w:i/>
                      <w:iCs/>
                      <w:sz w:val="18"/>
                      <w:szCs w:val="18"/>
                      <w:lang w:val="en-GB"/>
                    </w:rPr>
                    <w:t>.</w:t>
                  </w:r>
                </w:p>
              </w:tc>
            </w:tr>
          </w:tbl>
          <w:p w:rsidR="00150737" w:rsidRDefault="00150737" w:rsidP="00ED2AF9">
            <w:pPr>
              <w:spacing w:before="120" w:after="120" w:line="276" w:lineRule="auto"/>
              <w:jc w:val="center"/>
              <w:rPr>
                <w:rFonts w:ascii="Arial" w:hAnsi="Arial" w:cs="Arial"/>
                <w:b/>
                <w:sz w:val="22"/>
                <w:szCs w:val="22"/>
              </w:rPr>
            </w:pPr>
          </w:p>
          <w:p w:rsidR="00150737" w:rsidRDefault="00150737" w:rsidP="00ED2AF9">
            <w:pPr>
              <w:spacing w:before="120" w:after="120" w:line="276" w:lineRule="auto"/>
              <w:jc w:val="center"/>
              <w:rPr>
                <w:rFonts w:ascii="Arial" w:hAnsi="Arial" w:cs="Arial"/>
                <w:b/>
                <w:sz w:val="22"/>
                <w:szCs w:val="22"/>
              </w:rPr>
            </w:pPr>
          </w:p>
          <w:p w:rsidR="00150737" w:rsidRDefault="00150737" w:rsidP="00ED2AF9">
            <w:pPr>
              <w:spacing w:before="120" w:after="120" w:line="276" w:lineRule="auto"/>
              <w:jc w:val="center"/>
              <w:rPr>
                <w:rFonts w:ascii="Arial" w:hAnsi="Arial" w:cs="Arial"/>
                <w:b/>
                <w:sz w:val="22"/>
                <w:szCs w:val="22"/>
              </w:rPr>
            </w:pPr>
          </w:p>
          <w:p w:rsidR="00490511" w:rsidRPr="0076769B" w:rsidRDefault="00490511" w:rsidP="00F60020">
            <w:pPr>
              <w:spacing w:after="60" w:line="276" w:lineRule="auto"/>
              <w:ind w:right="232"/>
              <w:jc w:val="both"/>
              <w:rPr>
                <w:rFonts w:ascii="Arial" w:hAnsi="Arial" w:cs="Arial"/>
                <w:i/>
                <w:noProof/>
                <w:sz w:val="18"/>
                <w:szCs w:val="18"/>
                <w:lang w:val="en-GB"/>
              </w:rPr>
            </w:pPr>
          </w:p>
        </w:tc>
      </w:tr>
    </w:tbl>
    <w:p w:rsidR="003947F4" w:rsidRPr="00345A6E" w:rsidRDefault="003947F4" w:rsidP="00ED2AF9">
      <w:pPr>
        <w:spacing w:after="120" w:line="276" w:lineRule="auto"/>
        <w:jc w:val="both"/>
        <w:rPr>
          <w:rFonts w:ascii="Arial" w:hAnsi="Arial" w:cs="Arial"/>
          <w:bCs/>
          <w:iCs/>
          <w:sz w:val="18"/>
          <w:szCs w:val="18"/>
          <w:lang w:val="en-GB"/>
        </w:rPr>
      </w:pPr>
    </w:p>
    <w:sectPr w:rsidR="003947F4" w:rsidRPr="00345A6E" w:rsidSect="00CF464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BC7" w:rsidRDefault="00DA4BC7">
      <w:r>
        <w:separator/>
      </w:r>
    </w:p>
  </w:endnote>
  <w:endnote w:type="continuationSeparator" w:id="0">
    <w:p w:rsidR="00DA4BC7" w:rsidRDefault="00DA4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BC7" w:rsidRDefault="00DA4BC7">
      <w:r>
        <w:separator/>
      </w:r>
    </w:p>
  </w:footnote>
  <w:footnote w:type="continuationSeparator" w:id="0">
    <w:p w:rsidR="00DA4BC7" w:rsidRDefault="00DA4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0E17"/>
    <w:multiLevelType w:val="hybridMultilevel"/>
    <w:tmpl w:val="B85E8442"/>
    <w:lvl w:ilvl="0" w:tplc="5456FF38">
      <w:start w:val="1"/>
      <w:numFmt w:val="decimal"/>
      <w:lvlText w:val="%1."/>
      <w:lvlJc w:val="left"/>
      <w:pPr>
        <w:ind w:left="1440" w:hanging="360"/>
      </w:pPr>
      <w:rPr>
        <w:rFonts w:ascii="Arial" w:hAnsi="Arial" w:hint="default"/>
        <w:spacing w:val="0"/>
        <w:w w:val="100"/>
        <w:position w:val="0"/>
        <w:sz w:val="22"/>
      </w:r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 w15:restartNumberingAfterBreak="0">
    <w:nsid w:val="084B6372"/>
    <w:multiLevelType w:val="hybridMultilevel"/>
    <w:tmpl w:val="8BB420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B5AEC"/>
    <w:multiLevelType w:val="multilevel"/>
    <w:tmpl w:val="0409001F"/>
    <w:styleLink w:val="Style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 w15:restartNumberingAfterBreak="0">
    <w:nsid w:val="160A40F4"/>
    <w:multiLevelType w:val="multilevel"/>
    <w:tmpl w:val="3064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2521DA"/>
    <w:multiLevelType w:val="multilevel"/>
    <w:tmpl w:val="0409001F"/>
    <w:styleLink w:val="Style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 w15:restartNumberingAfterBreak="0">
    <w:nsid w:val="31E67169"/>
    <w:multiLevelType w:val="multilevel"/>
    <w:tmpl w:val="19FA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772B8D"/>
    <w:multiLevelType w:val="hybridMultilevel"/>
    <w:tmpl w:val="E38ACB3E"/>
    <w:lvl w:ilvl="0" w:tplc="EE06F246">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9C190B"/>
    <w:multiLevelType w:val="hybridMultilevel"/>
    <w:tmpl w:val="E5662CB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 w15:restartNumberingAfterBreak="0">
    <w:nsid w:val="4D6033CC"/>
    <w:multiLevelType w:val="hybridMultilevel"/>
    <w:tmpl w:val="A254FC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EA722A1"/>
    <w:multiLevelType w:val="hybridMultilevel"/>
    <w:tmpl w:val="52D674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504C457A"/>
    <w:multiLevelType w:val="hybridMultilevel"/>
    <w:tmpl w:val="987EB72A"/>
    <w:lvl w:ilvl="0" w:tplc="503EBE04">
      <w:start w:val="1"/>
      <w:numFmt w:val="decimal"/>
      <w:lvlText w:val="%1."/>
      <w:lvlJc w:val="left"/>
      <w:pPr>
        <w:ind w:left="360" w:hanging="360"/>
      </w:pPr>
      <w:rPr>
        <w:rFonts w:hint="default"/>
        <w:color w:val="auto"/>
      </w:rPr>
    </w:lvl>
    <w:lvl w:ilvl="1" w:tplc="44A84E02">
      <w:start w:val="1"/>
      <w:numFmt w:val="bullet"/>
      <w:lvlText w:val=""/>
      <w:lvlJc w:val="left"/>
      <w:pPr>
        <w:ind w:left="1080" w:hanging="360"/>
      </w:pPr>
      <w:rPr>
        <w:rFonts w:ascii="Symbol" w:hAnsi="Symbol" w:hint="default"/>
        <w:color w:val="auto"/>
        <w:sz w:val="20"/>
        <w:szCs w:val="20"/>
      </w:rPr>
    </w:lvl>
    <w:lvl w:ilvl="2" w:tplc="4F946A00">
      <w:start w:val="1"/>
      <w:numFmt w:val="bullet"/>
      <w:lvlText w:val="o"/>
      <w:lvlJc w:val="left"/>
      <w:pPr>
        <w:ind w:left="1800" w:hanging="180"/>
      </w:pPr>
      <w:rPr>
        <w:rFonts w:ascii="Courier New" w:hAnsi="Courier New" w:cs="Courier New" w:hint="default"/>
        <w:sz w:val="18"/>
      </w:rPr>
    </w:lvl>
    <w:lvl w:ilvl="3" w:tplc="04090001">
      <w:start w:val="1"/>
      <w:numFmt w:val="lowerRoman"/>
      <w:lvlText w:val="%4)"/>
      <w:lvlJc w:val="left"/>
      <w:pPr>
        <w:ind w:left="2880" w:hanging="720"/>
      </w:pPr>
      <w:rPr>
        <w:rFonts w:hint="default"/>
      </w:rPr>
    </w:lvl>
    <w:lvl w:ilvl="4" w:tplc="9FC0F842">
      <w:start w:val="1"/>
      <w:numFmt w:val="lowerLetter"/>
      <w:lvlText w:val="(%5)"/>
      <w:lvlJc w:val="left"/>
      <w:pPr>
        <w:ind w:left="3420" w:hanging="54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0B922CB"/>
    <w:multiLevelType w:val="hybridMultilevel"/>
    <w:tmpl w:val="0E485AF2"/>
    <w:lvl w:ilvl="0" w:tplc="10F4BA4E">
      <w:start w:val="1"/>
      <w:numFmt w:val="bullet"/>
      <w:lvlText w:val=""/>
      <w:lvlJc w:val="left"/>
      <w:pPr>
        <w:tabs>
          <w:tab w:val="num" w:pos="414"/>
        </w:tabs>
        <w:ind w:left="414" w:hanging="414"/>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544237F8"/>
    <w:multiLevelType w:val="hybridMultilevel"/>
    <w:tmpl w:val="EAE4C4F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581D1BC2"/>
    <w:multiLevelType w:val="hybridMultilevel"/>
    <w:tmpl w:val="2E2468D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59DD2BC5"/>
    <w:multiLevelType w:val="hybridMultilevel"/>
    <w:tmpl w:val="9D1E0960"/>
    <w:lvl w:ilvl="0" w:tplc="10F4BA4E">
      <w:start w:val="1"/>
      <w:numFmt w:val="bullet"/>
      <w:lvlText w:val=""/>
      <w:lvlJc w:val="left"/>
      <w:pPr>
        <w:tabs>
          <w:tab w:val="num" w:pos="414"/>
        </w:tabs>
        <w:ind w:left="414" w:hanging="414"/>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683205F4"/>
    <w:multiLevelType w:val="multilevel"/>
    <w:tmpl w:val="7CAE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B472A9"/>
    <w:multiLevelType w:val="hybridMultilevel"/>
    <w:tmpl w:val="04AA54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01A6D40"/>
    <w:multiLevelType w:val="hybridMultilevel"/>
    <w:tmpl w:val="E1A288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7D4F1383"/>
    <w:multiLevelType w:val="multilevel"/>
    <w:tmpl w:val="927C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DC2185"/>
    <w:multiLevelType w:val="hybridMultilevel"/>
    <w:tmpl w:val="69EC156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20" w15:restartNumberingAfterBreak="0">
    <w:nsid w:val="7FC32C10"/>
    <w:multiLevelType w:val="hybridMultilevel"/>
    <w:tmpl w:val="5C5EFC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4"/>
  </w:num>
  <w:num w:numId="4">
    <w:abstractNumId w:val="5"/>
  </w:num>
  <w:num w:numId="5">
    <w:abstractNumId w:val="6"/>
  </w:num>
  <w:num w:numId="6">
    <w:abstractNumId w:val="15"/>
  </w:num>
  <w:num w:numId="7">
    <w:abstractNumId w:val="1"/>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11"/>
  </w:num>
  <w:num w:numId="11">
    <w:abstractNumId w:val="14"/>
  </w:num>
  <w:num w:numId="12">
    <w:abstractNumId w:val="8"/>
  </w:num>
  <w:num w:numId="13">
    <w:abstractNumId w:val="17"/>
  </w:num>
  <w:num w:numId="14">
    <w:abstractNumId w:val="10"/>
  </w:num>
  <w:num w:numId="15">
    <w:abstractNumId w:val="18"/>
  </w:num>
  <w:num w:numId="16">
    <w:abstractNumId w:val="16"/>
  </w:num>
  <w:num w:numId="17">
    <w:abstractNumId w:val="7"/>
  </w:num>
  <w:num w:numId="18">
    <w:abstractNumId w:val="9"/>
  </w:num>
  <w:num w:numId="19">
    <w:abstractNumId w:val="13"/>
  </w:num>
  <w:num w:numId="20">
    <w:abstractNumId w:val="3"/>
  </w:num>
  <w:num w:numId="21">
    <w:abstractNumId w:val="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A62"/>
    <w:rsid w:val="00001509"/>
    <w:rsid w:val="00003D96"/>
    <w:rsid w:val="00010C67"/>
    <w:rsid w:val="000136EF"/>
    <w:rsid w:val="00016878"/>
    <w:rsid w:val="00031F94"/>
    <w:rsid w:val="00032EC5"/>
    <w:rsid w:val="00040123"/>
    <w:rsid w:val="00044382"/>
    <w:rsid w:val="000450CD"/>
    <w:rsid w:val="0005147F"/>
    <w:rsid w:val="00064EB5"/>
    <w:rsid w:val="0006670E"/>
    <w:rsid w:val="00073B85"/>
    <w:rsid w:val="000878CF"/>
    <w:rsid w:val="00092D8D"/>
    <w:rsid w:val="000958B0"/>
    <w:rsid w:val="00097D2D"/>
    <w:rsid w:val="000A09BD"/>
    <w:rsid w:val="000B3AC9"/>
    <w:rsid w:val="000B4148"/>
    <w:rsid w:val="000B4EE8"/>
    <w:rsid w:val="000B52F6"/>
    <w:rsid w:val="000C4F93"/>
    <w:rsid w:val="000C6DE2"/>
    <w:rsid w:val="000E3393"/>
    <w:rsid w:val="000E650C"/>
    <w:rsid w:val="000E6557"/>
    <w:rsid w:val="00101136"/>
    <w:rsid w:val="00113BFF"/>
    <w:rsid w:val="00114451"/>
    <w:rsid w:val="00116085"/>
    <w:rsid w:val="00122722"/>
    <w:rsid w:val="00126186"/>
    <w:rsid w:val="00134F54"/>
    <w:rsid w:val="00137A03"/>
    <w:rsid w:val="00140754"/>
    <w:rsid w:val="00150737"/>
    <w:rsid w:val="001540D8"/>
    <w:rsid w:val="001552E2"/>
    <w:rsid w:val="0017104C"/>
    <w:rsid w:val="0017487B"/>
    <w:rsid w:val="0018695A"/>
    <w:rsid w:val="001A7934"/>
    <w:rsid w:val="001C25A5"/>
    <w:rsid w:val="001C4B9C"/>
    <w:rsid w:val="001C523A"/>
    <w:rsid w:val="001D09E4"/>
    <w:rsid w:val="001D456A"/>
    <w:rsid w:val="001F4B6D"/>
    <w:rsid w:val="00200976"/>
    <w:rsid w:val="002012B2"/>
    <w:rsid w:val="0020189B"/>
    <w:rsid w:val="00203D03"/>
    <w:rsid w:val="002109B1"/>
    <w:rsid w:val="00214ACB"/>
    <w:rsid w:val="00216C17"/>
    <w:rsid w:val="00216F8A"/>
    <w:rsid w:val="00227905"/>
    <w:rsid w:val="00232478"/>
    <w:rsid w:val="0024081E"/>
    <w:rsid w:val="00245BF9"/>
    <w:rsid w:val="002844DA"/>
    <w:rsid w:val="00295291"/>
    <w:rsid w:val="002A60B6"/>
    <w:rsid w:val="002A74E0"/>
    <w:rsid w:val="002B73E0"/>
    <w:rsid w:val="002C1DFB"/>
    <w:rsid w:val="002C45B6"/>
    <w:rsid w:val="002D43B1"/>
    <w:rsid w:val="002D5ADC"/>
    <w:rsid w:val="002D6054"/>
    <w:rsid w:val="002D7307"/>
    <w:rsid w:val="002E40D3"/>
    <w:rsid w:val="002F1772"/>
    <w:rsid w:val="002F7B31"/>
    <w:rsid w:val="00313118"/>
    <w:rsid w:val="00314C4A"/>
    <w:rsid w:val="00315776"/>
    <w:rsid w:val="00325494"/>
    <w:rsid w:val="003356FE"/>
    <w:rsid w:val="00340339"/>
    <w:rsid w:val="00342BA3"/>
    <w:rsid w:val="00345A6E"/>
    <w:rsid w:val="00355BD0"/>
    <w:rsid w:val="00356960"/>
    <w:rsid w:val="0037190D"/>
    <w:rsid w:val="00372124"/>
    <w:rsid w:val="00373171"/>
    <w:rsid w:val="00376C05"/>
    <w:rsid w:val="003813C5"/>
    <w:rsid w:val="00382E0F"/>
    <w:rsid w:val="0039194F"/>
    <w:rsid w:val="00394559"/>
    <w:rsid w:val="003947F4"/>
    <w:rsid w:val="003A01AD"/>
    <w:rsid w:val="003A1121"/>
    <w:rsid w:val="003A201F"/>
    <w:rsid w:val="003B657F"/>
    <w:rsid w:val="003B67FC"/>
    <w:rsid w:val="003B7B30"/>
    <w:rsid w:val="003D32C8"/>
    <w:rsid w:val="003D3CF2"/>
    <w:rsid w:val="003D48AA"/>
    <w:rsid w:val="003E23B2"/>
    <w:rsid w:val="003E2B95"/>
    <w:rsid w:val="003E66B0"/>
    <w:rsid w:val="003F6A77"/>
    <w:rsid w:val="00400C1E"/>
    <w:rsid w:val="0040189D"/>
    <w:rsid w:val="004170DD"/>
    <w:rsid w:val="004228B0"/>
    <w:rsid w:val="00430ADA"/>
    <w:rsid w:val="00431DBA"/>
    <w:rsid w:val="00435B84"/>
    <w:rsid w:val="00445301"/>
    <w:rsid w:val="00465756"/>
    <w:rsid w:val="00470390"/>
    <w:rsid w:val="00476E88"/>
    <w:rsid w:val="00481202"/>
    <w:rsid w:val="0048394C"/>
    <w:rsid w:val="00485F72"/>
    <w:rsid w:val="00490511"/>
    <w:rsid w:val="0049789D"/>
    <w:rsid w:val="004A08F3"/>
    <w:rsid w:val="004A29F3"/>
    <w:rsid w:val="004B0A62"/>
    <w:rsid w:val="004B190D"/>
    <w:rsid w:val="004C62D9"/>
    <w:rsid w:val="004D11BE"/>
    <w:rsid w:val="004D4668"/>
    <w:rsid w:val="004D5AED"/>
    <w:rsid w:val="004E5DAD"/>
    <w:rsid w:val="004E7CED"/>
    <w:rsid w:val="004F1712"/>
    <w:rsid w:val="004F3980"/>
    <w:rsid w:val="004F63B7"/>
    <w:rsid w:val="00501D83"/>
    <w:rsid w:val="005020C7"/>
    <w:rsid w:val="00502FE5"/>
    <w:rsid w:val="005105C4"/>
    <w:rsid w:val="005173F9"/>
    <w:rsid w:val="00520C08"/>
    <w:rsid w:val="005230B0"/>
    <w:rsid w:val="00525D32"/>
    <w:rsid w:val="005276D8"/>
    <w:rsid w:val="00530BE5"/>
    <w:rsid w:val="0053603F"/>
    <w:rsid w:val="00542AF5"/>
    <w:rsid w:val="00546E1C"/>
    <w:rsid w:val="00553819"/>
    <w:rsid w:val="00562ACE"/>
    <w:rsid w:val="0057353C"/>
    <w:rsid w:val="005811FF"/>
    <w:rsid w:val="0058218C"/>
    <w:rsid w:val="00591298"/>
    <w:rsid w:val="0059783A"/>
    <w:rsid w:val="005B4925"/>
    <w:rsid w:val="005C20AA"/>
    <w:rsid w:val="005C5483"/>
    <w:rsid w:val="005D2387"/>
    <w:rsid w:val="005D3E51"/>
    <w:rsid w:val="005D7CC4"/>
    <w:rsid w:val="005F16E7"/>
    <w:rsid w:val="005F62C9"/>
    <w:rsid w:val="0060435D"/>
    <w:rsid w:val="00620907"/>
    <w:rsid w:val="00626C7F"/>
    <w:rsid w:val="00637821"/>
    <w:rsid w:val="006448AD"/>
    <w:rsid w:val="00652E9F"/>
    <w:rsid w:val="00654E42"/>
    <w:rsid w:val="00657150"/>
    <w:rsid w:val="00657AC1"/>
    <w:rsid w:val="00665BA3"/>
    <w:rsid w:val="00667C74"/>
    <w:rsid w:val="006817C0"/>
    <w:rsid w:val="0068669D"/>
    <w:rsid w:val="006964CA"/>
    <w:rsid w:val="006A71D7"/>
    <w:rsid w:val="006B6619"/>
    <w:rsid w:val="006B7A0B"/>
    <w:rsid w:val="006C3680"/>
    <w:rsid w:val="006C4CD0"/>
    <w:rsid w:val="006D0DAA"/>
    <w:rsid w:val="006E3E2B"/>
    <w:rsid w:val="006F44C4"/>
    <w:rsid w:val="0070324F"/>
    <w:rsid w:val="00706D7E"/>
    <w:rsid w:val="00711F93"/>
    <w:rsid w:val="00715EC2"/>
    <w:rsid w:val="0071605F"/>
    <w:rsid w:val="00720CBE"/>
    <w:rsid w:val="00725952"/>
    <w:rsid w:val="007279B3"/>
    <w:rsid w:val="007338EB"/>
    <w:rsid w:val="007348A4"/>
    <w:rsid w:val="00734BE1"/>
    <w:rsid w:val="00736DEE"/>
    <w:rsid w:val="007410C7"/>
    <w:rsid w:val="0074494B"/>
    <w:rsid w:val="007450F7"/>
    <w:rsid w:val="00746AE4"/>
    <w:rsid w:val="00754EAC"/>
    <w:rsid w:val="007615A9"/>
    <w:rsid w:val="00762565"/>
    <w:rsid w:val="00766238"/>
    <w:rsid w:val="007665E9"/>
    <w:rsid w:val="0076769B"/>
    <w:rsid w:val="007709AC"/>
    <w:rsid w:val="00771AA5"/>
    <w:rsid w:val="00776C30"/>
    <w:rsid w:val="0078740D"/>
    <w:rsid w:val="007B381D"/>
    <w:rsid w:val="007C13D2"/>
    <w:rsid w:val="007C1625"/>
    <w:rsid w:val="007D1B2D"/>
    <w:rsid w:val="007D5559"/>
    <w:rsid w:val="007D55E7"/>
    <w:rsid w:val="007E2CDE"/>
    <w:rsid w:val="00803A0E"/>
    <w:rsid w:val="008044A3"/>
    <w:rsid w:val="00817D8E"/>
    <w:rsid w:val="00823D20"/>
    <w:rsid w:val="0082717D"/>
    <w:rsid w:val="00834A2F"/>
    <w:rsid w:val="008437AD"/>
    <w:rsid w:val="00843BF0"/>
    <w:rsid w:val="00847575"/>
    <w:rsid w:val="0086276B"/>
    <w:rsid w:val="00862F7E"/>
    <w:rsid w:val="0086785E"/>
    <w:rsid w:val="00873664"/>
    <w:rsid w:val="0089033B"/>
    <w:rsid w:val="008942A8"/>
    <w:rsid w:val="0089542C"/>
    <w:rsid w:val="008B4BC2"/>
    <w:rsid w:val="008C0F0D"/>
    <w:rsid w:val="008C24D6"/>
    <w:rsid w:val="008D0691"/>
    <w:rsid w:val="008D7ADA"/>
    <w:rsid w:val="008E09EC"/>
    <w:rsid w:val="008E1FA4"/>
    <w:rsid w:val="008E2763"/>
    <w:rsid w:val="008E53A8"/>
    <w:rsid w:val="009141DD"/>
    <w:rsid w:val="00922D6E"/>
    <w:rsid w:val="00930E32"/>
    <w:rsid w:val="009352CB"/>
    <w:rsid w:val="0094029D"/>
    <w:rsid w:val="00960CE9"/>
    <w:rsid w:val="00981863"/>
    <w:rsid w:val="00982179"/>
    <w:rsid w:val="00982D4C"/>
    <w:rsid w:val="009E5345"/>
    <w:rsid w:val="009E7287"/>
    <w:rsid w:val="009E784B"/>
    <w:rsid w:val="00A06790"/>
    <w:rsid w:val="00A10918"/>
    <w:rsid w:val="00A2377E"/>
    <w:rsid w:val="00A25906"/>
    <w:rsid w:val="00A30594"/>
    <w:rsid w:val="00A320E2"/>
    <w:rsid w:val="00A338B0"/>
    <w:rsid w:val="00A53E61"/>
    <w:rsid w:val="00A719B1"/>
    <w:rsid w:val="00A90A07"/>
    <w:rsid w:val="00AA450F"/>
    <w:rsid w:val="00AA715B"/>
    <w:rsid w:val="00AB779F"/>
    <w:rsid w:val="00AC0C4E"/>
    <w:rsid w:val="00AC62A0"/>
    <w:rsid w:val="00AC74DF"/>
    <w:rsid w:val="00AD0FAA"/>
    <w:rsid w:val="00AD7D5A"/>
    <w:rsid w:val="00AF3F0B"/>
    <w:rsid w:val="00AF4C82"/>
    <w:rsid w:val="00B11F48"/>
    <w:rsid w:val="00B12E5A"/>
    <w:rsid w:val="00B16992"/>
    <w:rsid w:val="00B17169"/>
    <w:rsid w:val="00B2199A"/>
    <w:rsid w:val="00B244D5"/>
    <w:rsid w:val="00B2527D"/>
    <w:rsid w:val="00B3448B"/>
    <w:rsid w:val="00B3696C"/>
    <w:rsid w:val="00B37676"/>
    <w:rsid w:val="00B42F91"/>
    <w:rsid w:val="00B44226"/>
    <w:rsid w:val="00B53800"/>
    <w:rsid w:val="00B56DC1"/>
    <w:rsid w:val="00B56E71"/>
    <w:rsid w:val="00B61638"/>
    <w:rsid w:val="00B65630"/>
    <w:rsid w:val="00B659C3"/>
    <w:rsid w:val="00B67C8C"/>
    <w:rsid w:val="00B837E8"/>
    <w:rsid w:val="00B92E25"/>
    <w:rsid w:val="00BA7706"/>
    <w:rsid w:val="00BC3DCC"/>
    <w:rsid w:val="00BD4E25"/>
    <w:rsid w:val="00BE3A04"/>
    <w:rsid w:val="00BE3EB0"/>
    <w:rsid w:val="00BF23CF"/>
    <w:rsid w:val="00BF2AD1"/>
    <w:rsid w:val="00C042C2"/>
    <w:rsid w:val="00C06C45"/>
    <w:rsid w:val="00C075A2"/>
    <w:rsid w:val="00C23AA8"/>
    <w:rsid w:val="00C26742"/>
    <w:rsid w:val="00C40FBA"/>
    <w:rsid w:val="00C451BF"/>
    <w:rsid w:val="00C47C6F"/>
    <w:rsid w:val="00C54FEE"/>
    <w:rsid w:val="00C704B3"/>
    <w:rsid w:val="00C71091"/>
    <w:rsid w:val="00C728DC"/>
    <w:rsid w:val="00C7409F"/>
    <w:rsid w:val="00C81770"/>
    <w:rsid w:val="00C83BDB"/>
    <w:rsid w:val="00CA3A48"/>
    <w:rsid w:val="00CA491C"/>
    <w:rsid w:val="00CB4B32"/>
    <w:rsid w:val="00CB6B61"/>
    <w:rsid w:val="00CC4DBE"/>
    <w:rsid w:val="00CE05FC"/>
    <w:rsid w:val="00CE5699"/>
    <w:rsid w:val="00CF4646"/>
    <w:rsid w:val="00D00FBD"/>
    <w:rsid w:val="00D1346E"/>
    <w:rsid w:val="00D2206D"/>
    <w:rsid w:val="00D248FA"/>
    <w:rsid w:val="00D26D6A"/>
    <w:rsid w:val="00D40F54"/>
    <w:rsid w:val="00D4672E"/>
    <w:rsid w:val="00D47988"/>
    <w:rsid w:val="00D56247"/>
    <w:rsid w:val="00D65986"/>
    <w:rsid w:val="00D668E5"/>
    <w:rsid w:val="00D7008D"/>
    <w:rsid w:val="00D73CAA"/>
    <w:rsid w:val="00D753EF"/>
    <w:rsid w:val="00D768AE"/>
    <w:rsid w:val="00D87912"/>
    <w:rsid w:val="00D9037C"/>
    <w:rsid w:val="00D9298B"/>
    <w:rsid w:val="00DA4BC7"/>
    <w:rsid w:val="00DA5AED"/>
    <w:rsid w:val="00DC0067"/>
    <w:rsid w:val="00DC113B"/>
    <w:rsid w:val="00DC16DE"/>
    <w:rsid w:val="00DC2ED2"/>
    <w:rsid w:val="00DC5C0F"/>
    <w:rsid w:val="00DD1120"/>
    <w:rsid w:val="00DE2C45"/>
    <w:rsid w:val="00DE6BF7"/>
    <w:rsid w:val="00DF707A"/>
    <w:rsid w:val="00E01488"/>
    <w:rsid w:val="00E02E39"/>
    <w:rsid w:val="00E07370"/>
    <w:rsid w:val="00E13438"/>
    <w:rsid w:val="00E17D9D"/>
    <w:rsid w:val="00E25F57"/>
    <w:rsid w:val="00E31ACF"/>
    <w:rsid w:val="00E55984"/>
    <w:rsid w:val="00E55E2F"/>
    <w:rsid w:val="00E5656B"/>
    <w:rsid w:val="00E57669"/>
    <w:rsid w:val="00E621B7"/>
    <w:rsid w:val="00E705F2"/>
    <w:rsid w:val="00E725B7"/>
    <w:rsid w:val="00E73F81"/>
    <w:rsid w:val="00E74AFE"/>
    <w:rsid w:val="00E76A46"/>
    <w:rsid w:val="00E82AD1"/>
    <w:rsid w:val="00E85336"/>
    <w:rsid w:val="00E860E3"/>
    <w:rsid w:val="00E9626D"/>
    <w:rsid w:val="00EA39E9"/>
    <w:rsid w:val="00EB277F"/>
    <w:rsid w:val="00EB3DD8"/>
    <w:rsid w:val="00EB6057"/>
    <w:rsid w:val="00EC28EB"/>
    <w:rsid w:val="00EC6ACB"/>
    <w:rsid w:val="00ED2AF9"/>
    <w:rsid w:val="00ED69AF"/>
    <w:rsid w:val="00EF0CEC"/>
    <w:rsid w:val="00EF234F"/>
    <w:rsid w:val="00EF4769"/>
    <w:rsid w:val="00EF7CAF"/>
    <w:rsid w:val="00F0083E"/>
    <w:rsid w:val="00F06026"/>
    <w:rsid w:val="00F1120B"/>
    <w:rsid w:val="00F22686"/>
    <w:rsid w:val="00F2762C"/>
    <w:rsid w:val="00F344DE"/>
    <w:rsid w:val="00F511BB"/>
    <w:rsid w:val="00F56582"/>
    <w:rsid w:val="00F60020"/>
    <w:rsid w:val="00F663CB"/>
    <w:rsid w:val="00F6677D"/>
    <w:rsid w:val="00F72ADB"/>
    <w:rsid w:val="00F87562"/>
    <w:rsid w:val="00F87FF9"/>
    <w:rsid w:val="00F92DF3"/>
    <w:rsid w:val="00FA39F2"/>
    <w:rsid w:val="00FC0C03"/>
    <w:rsid w:val="00FC2D0C"/>
    <w:rsid w:val="00FC4FFC"/>
    <w:rsid w:val="00FD4BF3"/>
    <w:rsid w:val="00FE2964"/>
    <w:rsid w:val="00FF43F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096CF06-4E64-411E-BE60-7C92E79C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4">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F44C4"/>
    <w:rPr>
      <w:sz w:val="24"/>
      <w:szCs w:val="24"/>
      <w:lang w:val="en-US" w:eastAsia="en-US"/>
    </w:rPr>
  </w:style>
  <w:style w:type="paragraph" w:styleId="Heading2">
    <w:name w:val="heading 2"/>
    <w:basedOn w:val="Normal"/>
    <w:next w:val="Normal"/>
    <w:link w:val="Heading2Char"/>
    <w:autoRedefine/>
    <w:uiPriority w:val="9"/>
    <w:unhideWhenUsed/>
    <w:qFormat/>
    <w:locked/>
    <w:rsid w:val="004E5DAD"/>
    <w:pPr>
      <w:keepNext/>
      <w:keepLines/>
      <w:spacing w:before="240" w:after="240"/>
      <w:outlineLvl w:val="1"/>
    </w:pPr>
    <w:rPr>
      <w:rFonts w:ascii="Arial" w:eastAsiaTheme="majorEastAsia" w:hAnsi="Arial" w:cstheme="majorBidi"/>
      <w:b/>
      <w:bCs/>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orDepartment">
    <w:name w:val="Title or Department"/>
    <w:rsid w:val="004B0A62"/>
    <w:rPr>
      <w:rFonts w:ascii="Calibri" w:hAnsi="Calibri" w:cs="Times New Roman"/>
      <w:b/>
      <w:bCs/>
      <w:color w:val="C00000"/>
    </w:rPr>
  </w:style>
  <w:style w:type="character" w:customStyle="1" w:styleId="Subject">
    <w:name w:val="Subject:"/>
    <w:rsid w:val="004B0A62"/>
    <w:rPr>
      <w:rFonts w:ascii="Calibri" w:hAnsi="Calibri" w:cs="Times New Roman"/>
      <w:b/>
      <w:bCs/>
      <w:color w:val="7C6440"/>
    </w:rPr>
  </w:style>
  <w:style w:type="character" w:customStyle="1" w:styleId="PlaceDate">
    <w:name w:val="Place &amp; Date"/>
    <w:rsid w:val="004B0A62"/>
    <w:rPr>
      <w:rFonts w:ascii="Calibri" w:hAnsi="Calibri" w:cs="Times New Roman"/>
      <w:color w:val="7C7C7C"/>
    </w:rPr>
  </w:style>
  <w:style w:type="character" w:styleId="Hyperlink">
    <w:name w:val="Hyperlink"/>
    <w:rsid w:val="000878CF"/>
    <w:rPr>
      <w:rFonts w:cs="Times New Roman"/>
      <w:color w:val="BD392D"/>
      <w:u w:val="single"/>
      <w:effect w:val="none"/>
    </w:rPr>
  </w:style>
  <w:style w:type="paragraph" w:styleId="BalloonText">
    <w:name w:val="Balloon Text"/>
    <w:basedOn w:val="Normal"/>
    <w:link w:val="BalloonTextChar"/>
    <w:semiHidden/>
    <w:rsid w:val="006964CA"/>
    <w:rPr>
      <w:rFonts w:ascii="Tahoma" w:hAnsi="Tahoma" w:cs="Tahoma"/>
      <w:sz w:val="16"/>
      <w:szCs w:val="16"/>
    </w:rPr>
  </w:style>
  <w:style w:type="character" w:customStyle="1" w:styleId="BalloonTextChar">
    <w:name w:val="Balloon Text Char"/>
    <w:link w:val="BalloonText"/>
    <w:semiHidden/>
    <w:locked/>
    <w:rsid w:val="008C24D6"/>
    <w:rPr>
      <w:rFonts w:cs="Times New Roman"/>
      <w:sz w:val="2"/>
    </w:rPr>
  </w:style>
  <w:style w:type="character" w:styleId="CommentReference">
    <w:name w:val="annotation reference"/>
    <w:uiPriority w:val="99"/>
    <w:rsid w:val="005D3E51"/>
    <w:rPr>
      <w:rFonts w:cs="Times New Roman"/>
      <w:sz w:val="16"/>
      <w:szCs w:val="16"/>
    </w:rPr>
  </w:style>
  <w:style w:type="paragraph" w:styleId="CommentText">
    <w:name w:val="annotation text"/>
    <w:basedOn w:val="Normal"/>
    <w:link w:val="CommentTextChar"/>
    <w:uiPriority w:val="99"/>
    <w:rsid w:val="005D3E51"/>
    <w:rPr>
      <w:sz w:val="20"/>
      <w:szCs w:val="20"/>
    </w:rPr>
  </w:style>
  <w:style w:type="character" w:customStyle="1" w:styleId="CommentTextChar">
    <w:name w:val="Comment Text Char"/>
    <w:link w:val="CommentText"/>
    <w:uiPriority w:val="99"/>
    <w:locked/>
    <w:rsid w:val="008C24D6"/>
    <w:rPr>
      <w:rFonts w:cs="Times New Roman"/>
      <w:sz w:val="20"/>
      <w:szCs w:val="20"/>
    </w:rPr>
  </w:style>
  <w:style w:type="paragraph" w:styleId="CommentSubject">
    <w:name w:val="annotation subject"/>
    <w:basedOn w:val="CommentText"/>
    <w:next w:val="CommentText"/>
    <w:link w:val="CommentSubjectChar"/>
    <w:semiHidden/>
    <w:rsid w:val="005D3E51"/>
    <w:rPr>
      <w:b/>
      <w:bCs/>
    </w:rPr>
  </w:style>
  <w:style w:type="character" w:customStyle="1" w:styleId="CommentSubjectChar">
    <w:name w:val="Comment Subject Char"/>
    <w:link w:val="CommentSubject"/>
    <w:semiHidden/>
    <w:locked/>
    <w:rsid w:val="008C24D6"/>
    <w:rPr>
      <w:rFonts w:cs="Times New Roman"/>
      <w:b/>
      <w:bCs/>
      <w:sz w:val="20"/>
      <w:szCs w:val="20"/>
    </w:rPr>
  </w:style>
  <w:style w:type="character" w:styleId="Emphasis">
    <w:name w:val="Emphasis"/>
    <w:uiPriority w:val="20"/>
    <w:qFormat/>
    <w:rsid w:val="00AC0C4E"/>
    <w:rPr>
      <w:rFonts w:cs="Times New Roman"/>
      <w:i/>
      <w:iCs/>
    </w:rPr>
  </w:style>
  <w:style w:type="paragraph" w:customStyle="1" w:styleId="mainhead">
    <w:name w:val="mainhead"/>
    <w:basedOn w:val="Normal"/>
    <w:rsid w:val="0086276B"/>
    <w:pPr>
      <w:spacing w:before="240" w:line="360" w:lineRule="exact"/>
    </w:pPr>
    <w:rPr>
      <w:b/>
      <w:sz w:val="36"/>
      <w:szCs w:val="20"/>
      <w:lang w:val="en-GB"/>
    </w:rPr>
  </w:style>
  <w:style w:type="character" w:styleId="FollowedHyperlink">
    <w:name w:val="FollowedHyperlink"/>
    <w:rsid w:val="00C23AA8"/>
    <w:rPr>
      <w:rFonts w:cs="Times New Roman"/>
      <w:color w:val="800080"/>
      <w:u w:val="single"/>
    </w:rPr>
  </w:style>
  <w:style w:type="paragraph" w:styleId="NormalWeb">
    <w:name w:val="Normal (Web)"/>
    <w:basedOn w:val="Normal"/>
    <w:uiPriority w:val="99"/>
    <w:rsid w:val="00D753EF"/>
    <w:pPr>
      <w:spacing w:before="100" w:beforeAutospacing="1" w:after="100" w:afterAutospacing="1"/>
    </w:pPr>
  </w:style>
  <w:style w:type="character" w:styleId="Strong">
    <w:name w:val="Strong"/>
    <w:uiPriority w:val="22"/>
    <w:qFormat/>
    <w:rsid w:val="00D753EF"/>
    <w:rPr>
      <w:rFonts w:cs="Times New Roman"/>
      <w:b/>
      <w:bCs/>
    </w:rPr>
  </w:style>
  <w:style w:type="paragraph" w:styleId="Header">
    <w:name w:val="header"/>
    <w:basedOn w:val="Normal"/>
    <w:link w:val="HeaderChar"/>
    <w:uiPriority w:val="99"/>
    <w:rsid w:val="00F2762C"/>
    <w:pPr>
      <w:tabs>
        <w:tab w:val="center" w:pos="4320"/>
        <w:tab w:val="right" w:pos="8640"/>
      </w:tabs>
    </w:pPr>
  </w:style>
  <w:style w:type="character" w:customStyle="1" w:styleId="HeaderChar">
    <w:name w:val="Header Char"/>
    <w:link w:val="Header"/>
    <w:uiPriority w:val="99"/>
    <w:locked/>
    <w:rsid w:val="008C24D6"/>
    <w:rPr>
      <w:rFonts w:cs="Times New Roman"/>
      <w:sz w:val="24"/>
      <w:szCs w:val="24"/>
    </w:rPr>
  </w:style>
  <w:style w:type="paragraph" w:styleId="Footer">
    <w:name w:val="footer"/>
    <w:basedOn w:val="Normal"/>
    <w:link w:val="FooterChar"/>
    <w:rsid w:val="00F2762C"/>
    <w:pPr>
      <w:tabs>
        <w:tab w:val="center" w:pos="4320"/>
        <w:tab w:val="right" w:pos="8640"/>
      </w:tabs>
    </w:pPr>
  </w:style>
  <w:style w:type="character" w:customStyle="1" w:styleId="FooterChar">
    <w:name w:val="Footer Char"/>
    <w:link w:val="Footer"/>
    <w:semiHidden/>
    <w:locked/>
    <w:rsid w:val="008C24D6"/>
    <w:rPr>
      <w:rFonts w:cs="Times New Roman"/>
      <w:sz w:val="24"/>
      <w:szCs w:val="24"/>
    </w:rPr>
  </w:style>
  <w:style w:type="character" w:customStyle="1" w:styleId="PlainTextChar">
    <w:name w:val="Plain Text Char"/>
    <w:locked/>
    <w:rsid w:val="002A60B6"/>
    <w:rPr>
      <w:rFonts w:ascii="Consolas" w:hAnsi="Consolas"/>
    </w:rPr>
  </w:style>
  <w:style w:type="paragraph" w:styleId="PlainText">
    <w:name w:val="Plain Text"/>
    <w:basedOn w:val="Normal"/>
    <w:link w:val="PlainTextChar1"/>
    <w:rsid w:val="002A60B6"/>
    <w:rPr>
      <w:rFonts w:ascii="Consolas" w:hAnsi="Consolas"/>
      <w:sz w:val="20"/>
      <w:szCs w:val="20"/>
    </w:rPr>
  </w:style>
  <w:style w:type="character" w:customStyle="1" w:styleId="PlainTextChar1">
    <w:name w:val="Plain Text Char1"/>
    <w:link w:val="PlainText"/>
    <w:semiHidden/>
    <w:locked/>
    <w:rsid w:val="008C24D6"/>
    <w:rPr>
      <w:rFonts w:ascii="Courier New" w:hAnsi="Courier New" w:cs="Courier New"/>
      <w:sz w:val="20"/>
      <w:szCs w:val="20"/>
    </w:rPr>
  </w:style>
  <w:style w:type="paragraph" w:customStyle="1" w:styleId="Default">
    <w:name w:val="Default"/>
    <w:rsid w:val="00CC4DBE"/>
    <w:pPr>
      <w:widowControl w:val="0"/>
      <w:autoSpaceDE w:val="0"/>
      <w:autoSpaceDN w:val="0"/>
      <w:adjustRightInd w:val="0"/>
    </w:pPr>
    <w:rPr>
      <w:rFonts w:eastAsia="MS Mincho"/>
      <w:color w:val="000000"/>
      <w:sz w:val="24"/>
      <w:szCs w:val="24"/>
      <w:lang w:val="en-GB" w:eastAsia="ja-JP"/>
    </w:rPr>
  </w:style>
  <w:style w:type="paragraph" w:customStyle="1" w:styleId="ac-01">
    <w:name w:val="ac-01"/>
    <w:basedOn w:val="Default"/>
    <w:next w:val="Default"/>
    <w:rsid w:val="00CC4DBE"/>
    <w:rPr>
      <w:color w:val="auto"/>
    </w:rPr>
  </w:style>
  <w:style w:type="paragraph" w:styleId="Title">
    <w:name w:val="Title"/>
    <w:basedOn w:val="Normal"/>
    <w:link w:val="TitleChar"/>
    <w:uiPriority w:val="10"/>
    <w:qFormat/>
    <w:locked/>
    <w:rsid w:val="00CC4DBE"/>
    <w:pPr>
      <w:jc w:val="center"/>
    </w:pPr>
    <w:rPr>
      <w:b/>
      <w:szCs w:val="20"/>
      <w:lang w:eastAsia="en-GB"/>
    </w:rPr>
  </w:style>
  <w:style w:type="character" w:customStyle="1" w:styleId="TitleChar">
    <w:name w:val="Title Char"/>
    <w:link w:val="Title"/>
    <w:uiPriority w:val="10"/>
    <w:locked/>
    <w:rsid w:val="008C24D6"/>
    <w:rPr>
      <w:rFonts w:ascii="Cambria" w:hAnsi="Cambria" w:cs="Times New Roman"/>
      <w:b/>
      <w:bCs/>
      <w:kern w:val="28"/>
      <w:sz w:val="32"/>
      <w:szCs w:val="32"/>
    </w:rPr>
  </w:style>
  <w:style w:type="numbering" w:customStyle="1" w:styleId="Style1">
    <w:name w:val="Style1"/>
    <w:rsid w:val="00273B7C"/>
    <w:pPr>
      <w:numPr>
        <w:numId w:val="1"/>
      </w:numPr>
    </w:pPr>
  </w:style>
  <w:style w:type="numbering" w:customStyle="1" w:styleId="Style2">
    <w:name w:val="Style2"/>
    <w:rsid w:val="00273B7C"/>
    <w:pPr>
      <w:numPr>
        <w:numId w:val="3"/>
      </w:numPr>
    </w:pPr>
  </w:style>
  <w:style w:type="paragraph" w:styleId="ListParagraph">
    <w:name w:val="List Paragraph"/>
    <w:basedOn w:val="Normal"/>
    <w:link w:val="ListParagraphChar"/>
    <w:uiPriority w:val="34"/>
    <w:qFormat/>
    <w:rsid w:val="00C728DC"/>
    <w:pPr>
      <w:ind w:left="720"/>
      <w:contextualSpacing/>
    </w:pPr>
    <w:rPr>
      <w:lang w:val="en-GB"/>
    </w:rPr>
  </w:style>
  <w:style w:type="character" w:customStyle="1" w:styleId="Heading2Char">
    <w:name w:val="Heading 2 Char"/>
    <w:basedOn w:val="DefaultParagraphFont"/>
    <w:link w:val="Heading2"/>
    <w:uiPriority w:val="9"/>
    <w:rsid w:val="004E5DAD"/>
    <w:rPr>
      <w:rFonts w:ascii="Arial" w:eastAsiaTheme="majorEastAsia" w:hAnsi="Arial" w:cstheme="majorBidi"/>
      <w:b/>
      <w:bCs/>
      <w:sz w:val="24"/>
      <w:szCs w:val="26"/>
      <w:lang w:val="en-US" w:eastAsia="ja-JP"/>
    </w:rPr>
  </w:style>
  <w:style w:type="character" w:customStyle="1" w:styleId="apple-converted-space">
    <w:name w:val="apple-converted-space"/>
    <w:basedOn w:val="DefaultParagraphFont"/>
    <w:rsid w:val="00834A2F"/>
  </w:style>
  <w:style w:type="character" w:customStyle="1" w:styleId="FootnoteTextChar">
    <w:name w:val="Footnote Text Char"/>
    <w:aliases w:val="Footnote Text Char2 Char,Footnote Text Char11 Char,Footnote Text Char3 Char,Footnote Text Char4 Char,Footnote Text Char5 Char,Footnote Text Char6 Char,Footnote Text Char12 Char,Footnote Text Char21 Char,Footnote Text Char31 Char"/>
    <w:basedOn w:val="DefaultParagraphFont"/>
    <w:link w:val="FootnoteText"/>
    <w:uiPriority w:val="99"/>
    <w:locked/>
    <w:rsid w:val="00490511"/>
    <w:rPr>
      <w:lang w:val="en-GB" w:eastAsia="en-GB"/>
    </w:rPr>
  </w:style>
  <w:style w:type="paragraph" w:styleId="FootnoteText">
    <w:name w:val="footnote text"/>
    <w:aliases w:val="Footnote Text Char2,Footnote Text Char11,Footnote Text Char3,Footnote Text Char4,Footnote Text Char5,Footnote Text Char6,Footnote Text Char12,Footnote Text Char21,Footnote Text Char31,Footnote New,Ch"/>
    <w:basedOn w:val="Normal"/>
    <w:link w:val="FootnoteTextChar"/>
    <w:uiPriority w:val="99"/>
    <w:unhideWhenUsed/>
    <w:rsid w:val="00490511"/>
    <w:rPr>
      <w:sz w:val="20"/>
      <w:szCs w:val="20"/>
      <w:lang w:val="en-GB" w:eastAsia="en-GB"/>
    </w:rPr>
  </w:style>
  <w:style w:type="character" w:customStyle="1" w:styleId="FootnoteTextChar1">
    <w:name w:val="Footnote Text Char1"/>
    <w:basedOn w:val="DefaultParagraphFont"/>
    <w:rsid w:val="00490511"/>
    <w:rPr>
      <w:lang w:val="en-US" w:eastAsia="en-US"/>
    </w:rPr>
  </w:style>
  <w:style w:type="character" w:customStyle="1" w:styleId="ListParagraphChar">
    <w:name w:val="List Paragraph Char"/>
    <w:basedOn w:val="DefaultParagraphFont"/>
    <w:link w:val="ListParagraph"/>
    <w:uiPriority w:val="34"/>
    <w:rsid w:val="004F3980"/>
    <w:rPr>
      <w:sz w:val="24"/>
      <w:szCs w:val="24"/>
      <w:lang w:val="en-GB" w:eastAsia="en-US"/>
    </w:rPr>
  </w:style>
  <w:style w:type="character" w:styleId="Mention">
    <w:name w:val="Mention"/>
    <w:basedOn w:val="DefaultParagraphFont"/>
    <w:uiPriority w:val="99"/>
    <w:semiHidden/>
    <w:unhideWhenUsed/>
    <w:rsid w:val="00150737"/>
    <w:rPr>
      <w:color w:val="2B579A"/>
      <w:shd w:val="clear" w:color="auto" w:fill="E6E6E6"/>
    </w:rPr>
  </w:style>
  <w:style w:type="table" w:styleId="TableGrid">
    <w:name w:val="Table Grid"/>
    <w:basedOn w:val="TableNormal"/>
    <w:unhideWhenUsed/>
    <w:locked/>
    <w:rsid w:val="00150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200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100"/>
                  <w:divBdr>
                    <w:top w:val="none" w:sz="0" w:space="0" w:color="auto"/>
                    <w:left w:val="none" w:sz="0" w:space="0" w:color="auto"/>
                    <w:bottom w:val="none" w:sz="0" w:space="0" w:color="auto"/>
                    <w:right w:val="none" w:sz="0" w:space="0" w:color="auto"/>
                  </w:divBdr>
                  <w:divsChild>
                    <w:div w:id="12">
                      <w:marLeft w:val="100"/>
                      <w:marRight w:val="10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300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150"/>
                  <w:divBdr>
                    <w:top w:val="none" w:sz="0" w:space="0" w:color="auto"/>
                    <w:left w:val="none" w:sz="0" w:space="0" w:color="auto"/>
                    <w:bottom w:val="none" w:sz="0" w:space="0" w:color="auto"/>
                    <w:right w:val="none" w:sz="0" w:space="0" w:color="auto"/>
                  </w:divBdr>
                  <w:divsChild>
                    <w:div w:id="8">
                      <w:marLeft w:val="150"/>
                      <w:marRight w:val="15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single" w:sz="8" w:space="1"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200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100"/>
                  <w:divBdr>
                    <w:top w:val="none" w:sz="0" w:space="0" w:color="auto"/>
                    <w:left w:val="none" w:sz="0" w:space="0" w:color="auto"/>
                    <w:bottom w:val="none" w:sz="0" w:space="0" w:color="auto"/>
                    <w:right w:val="none" w:sz="0" w:space="0" w:color="auto"/>
                  </w:divBdr>
                  <w:divsChild>
                    <w:div w:id="6">
                      <w:marLeft w:val="100"/>
                      <w:marRight w:val="10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single" w:sz="8" w:space="1"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39593704">
      <w:bodyDiv w:val="1"/>
      <w:marLeft w:val="0"/>
      <w:marRight w:val="0"/>
      <w:marTop w:val="0"/>
      <w:marBottom w:val="0"/>
      <w:divBdr>
        <w:top w:val="none" w:sz="0" w:space="0" w:color="auto"/>
        <w:left w:val="none" w:sz="0" w:space="0" w:color="auto"/>
        <w:bottom w:val="none" w:sz="0" w:space="0" w:color="auto"/>
        <w:right w:val="none" w:sz="0" w:space="0" w:color="auto"/>
      </w:divBdr>
    </w:div>
    <w:div w:id="508952689">
      <w:bodyDiv w:val="1"/>
      <w:marLeft w:val="0"/>
      <w:marRight w:val="0"/>
      <w:marTop w:val="0"/>
      <w:marBottom w:val="0"/>
      <w:divBdr>
        <w:top w:val="none" w:sz="0" w:space="0" w:color="auto"/>
        <w:left w:val="none" w:sz="0" w:space="0" w:color="auto"/>
        <w:bottom w:val="none" w:sz="0" w:space="0" w:color="auto"/>
        <w:right w:val="none" w:sz="0" w:space="0" w:color="auto"/>
      </w:divBdr>
    </w:div>
    <w:div w:id="1067339949">
      <w:bodyDiv w:val="1"/>
      <w:marLeft w:val="0"/>
      <w:marRight w:val="0"/>
      <w:marTop w:val="0"/>
      <w:marBottom w:val="0"/>
      <w:divBdr>
        <w:top w:val="none" w:sz="0" w:space="0" w:color="auto"/>
        <w:left w:val="none" w:sz="0" w:space="0" w:color="auto"/>
        <w:bottom w:val="none" w:sz="0" w:space="0" w:color="auto"/>
        <w:right w:val="none" w:sz="0" w:space="0" w:color="auto"/>
      </w:divBdr>
    </w:div>
    <w:div w:id="1219633264">
      <w:bodyDiv w:val="1"/>
      <w:marLeft w:val="0"/>
      <w:marRight w:val="0"/>
      <w:marTop w:val="0"/>
      <w:marBottom w:val="0"/>
      <w:divBdr>
        <w:top w:val="none" w:sz="0" w:space="0" w:color="auto"/>
        <w:left w:val="none" w:sz="0" w:space="0" w:color="auto"/>
        <w:bottom w:val="none" w:sz="0" w:space="0" w:color="auto"/>
        <w:right w:val="none" w:sz="0" w:space="0" w:color="auto"/>
      </w:divBdr>
    </w:div>
    <w:div w:id="184609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ba.co.za/guidance-for-ras/technical-guidance-for-ras/ethics:-the-rules-and-the-code/nocl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andards@irba.co.za" TargetMode="External"/><Relationship Id="rId4" Type="http://schemas.openxmlformats.org/officeDocument/2006/relationships/settings" Target="settings.xml"/><Relationship Id="rId9" Type="http://schemas.openxmlformats.org/officeDocument/2006/relationships/hyperlink" Target="http://www.ifac.org/publications-resources/iesba-staff-questions-and-answers-responding-non-compliance-laws-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F5DA3-D988-468D-B939-DE32C6CA2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386</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Committee for Auditing Standards</vt:lpstr>
    </vt:vector>
  </TitlesOfParts>
  <Company>IRBA</Company>
  <LinksUpToDate>false</LinksUpToDate>
  <CharactersWithSpaces>2865</CharactersWithSpaces>
  <SharedDoc>false</SharedDoc>
  <HLinks>
    <vt:vector size="18" baseType="variant">
      <vt:variant>
        <vt:i4>2424907</vt:i4>
      </vt:variant>
      <vt:variant>
        <vt:i4>3</vt:i4>
      </vt:variant>
      <vt:variant>
        <vt:i4>0</vt:i4>
      </vt:variant>
      <vt:variant>
        <vt:i4>5</vt:i4>
      </vt:variant>
      <vt:variant>
        <vt:lpwstr>mailto:standards@irba.co.za</vt:lpwstr>
      </vt:variant>
      <vt:variant>
        <vt:lpwstr/>
      </vt:variant>
      <vt:variant>
        <vt:i4>3407983</vt:i4>
      </vt:variant>
      <vt:variant>
        <vt:i4>0</vt:i4>
      </vt:variant>
      <vt:variant>
        <vt:i4>0</vt:i4>
      </vt:variant>
      <vt:variant>
        <vt:i4>5</vt:i4>
      </vt:variant>
      <vt:variant>
        <vt:lpwstr>http://www.irba.co.za/</vt:lpwstr>
      </vt:variant>
      <vt:variant>
        <vt:lpwstr/>
      </vt:variant>
      <vt:variant>
        <vt:i4>6029324</vt:i4>
      </vt:variant>
      <vt:variant>
        <vt:i4>0</vt:i4>
      </vt:variant>
      <vt:variant>
        <vt:i4>0</vt:i4>
      </vt:variant>
      <vt:variant>
        <vt:i4>5</vt:i4>
      </vt:variant>
      <vt:variant>
        <vt:lpwstr>http://www.irba.co.za/index.php/auditing-standards-functions-55/91?task=view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for Auditing Standards</dc:title>
  <dc:creator>tpeyper</dc:creator>
  <cp:lastModifiedBy>Henriette Fortuin</cp:lastModifiedBy>
  <cp:revision>6</cp:revision>
  <cp:lastPrinted>2017-07-07T07:57:00Z</cp:lastPrinted>
  <dcterms:created xsi:type="dcterms:W3CDTF">2017-07-10T11:03:00Z</dcterms:created>
  <dcterms:modified xsi:type="dcterms:W3CDTF">2017-07-11T11:58:00Z</dcterms:modified>
</cp:coreProperties>
</file>