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736"/>
      </w:tblGrid>
      <w:tr w:rsidR="00AD07C9" w14:paraId="7B67B0F0" w14:textId="77777777" w:rsidTr="00AD07C9">
        <w:tc>
          <w:tcPr>
            <w:tcW w:w="9736" w:type="dxa"/>
            <w:tcBorders>
              <w:top w:val="single" w:sz="4" w:space="0" w:color="auto"/>
              <w:left w:val="nil"/>
              <w:bottom w:val="single" w:sz="4" w:space="0" w:color="auto"/>
              <w:right w:val="nil"/>
            </w:tcBorders>
            <w:vAlign w:val="center"/>
          </w:tcPr>
          <w:p w14:paraId="21775E41" w14:textId="589DACB5" w:rsidR="00AD07C9" w:rsidRDefault="00AD07C9" w:rsidP="00B71C76">
            <w:pPr>
              <w:spacing w:line="276" w:lineRule="auto"/>
              <w:jc w:val="center"/>
              <w:rPr>
                <w:rFonts w:ascii="Arial" w:hAnsi="Arial" w:cs="Arial"/>
                <w:lang w:val="en-ZA"/>
              </w:rPr>
            </w:pPr>
            <w:r w:rsidRPr="003D773B">
              <w:rPr>
                <w:rFonts w:ascii="Arial" w:hAnsi="Arial" w:cs="Arial"/>
                <w:b/>
                <w:bCs/>
                <w:color w:val="CC0000"/>
                <w:lang w:val="en-ZA"/>
              </w:rPr>
              <w:t>INDEPENDENT REGULATORY BOARD FOR AUDITORS</w:t>
            </w:r>
          </w:p>
        </w:tc>
      </w:tr>
    </w:tbl>
    <w:p w14:paraId="2DF2B66B" w14:textId="53FBD269" w:rsidR="00981C35" w:rsidRDefault="00981C35" w:rsidP="003D773B">
      <w:pPr>
        <w:spacing w:after="120" w:line="276" w:lineRule="auto"/>
        <w:jc w:val="both"/>
        <w:rPr>
          <w:rFonts w:ascii="Arial" w:hAnsi="Arial" w:cs="Arial"/>
          <w:lang w:val="en-ZA"/>
        </w:rPr>
      </w:pPr>
    </w:p>
    <w:tbl>
      <w:tblPr>
        <w:tblStyle w:val="TableGrid"/>
        <w:tblW w:w="0" w:type="auto"/>
        <w:tblLook w:val="04A0" w:firstRow="1" w:lastRow="0" w:firstColumn="1" w:lastColumn="0" w:noHBand="0" w:noVBand="1"/>
      </w:tblPr>
      <w:tblGrid>
        <w:gridCol w:w="9736"/>
      </w:tblGrid>
      <w:tr w:rsidR="00AD07C9" w14:paraId="76D0AECC" w14:textId="77777777" w:rsidTr="00B71C76">
        <w:tc>
          <w:tcPr>
            <w:tcW w:w="9736" w:type="dxa"/>
            <w:tcBorders>
              <w:top w:val="nil"/>
              <w:left w:val="nil"/>
              <w:bottom w:val="nil"/>
              <w:right w:val="nil"/>
            </w:tcBorders>
          </w:tcPr>
          <w:p w14:paraId="092AE9DB" w14:textId="77777777" w:rsidR="00B71C76" w:rsidRPr="003D773B" w:rsidRDefault="00B71C76" w:rsidP="00B71C76">
            <w:pPr>
              <w:spacing w:after="120" w:line="276" w:lineRule="auto"/>
              <w:jc w:val="center"/>
              <w:rPr>
                <w:rFonts w:ascii="Arial" w:hAnsi="Arial" w:cs="Arial"/>
                <w:b/>
                <w:bCs/>
                <w:color w:val="000000"/>
                <w:sz w:val="22"/>
                <w:szCs w:val="22"/>
                <w:lang w:val="en-ZA"/>
              </w:rPr>
            </w:pPr>
            <w:r w:rsidRPr="003D773B">
              <w:rPr>
                <w:rFonts w:ascii="Arial" w:hAnsi="Arial" w:cs="Arial"/>
                <w:b/>
                <w:sz w:val="22"/>
                <w:szCs w:val="22"/>
                <w:lang w:val="en-ZA"/>
              </w:rPr>
              <w:t>Transparency Reports</w:t>
            </w:r>
            <w:r>
              <w:rPr>
                <w:rFonts w:ascii="Arial" w:hAnsi="Arial" w:cs="Arial"/>
                <w:b/>
                <w:sz w:val="22"/>
                <w:szCs w:val="22"/>
                <w:lang w:val="en-ZA"/>
              </w:rPr>
              <w:t xml:space="preserve"> will strengthen confidence in audit firms</w:t>
            </w:r>
          </w:p>
          <w:p w14:paraId="4E5A19C6" w14:textId="77777777" w:rsidR="00B71C76" w:rsidRPr="003D773B" w:rsidRDefault="00B71C76" w:rsidP="00B71C76">
            <w:pPr>
              <w:spacing w:after="120" w:line="276" w:lineRule="auto"/>
              <w:jc w:val="center"/>
              <w:rPr>
                <w:rFonts w:ascii="Arial" w:hAnsi="Arial" w:cs="Arial"/>
                <w:sz w:val="22"/>
                <w:szCs w:val="22"/>
                <w:lang w:val="en-ZA"/>
              </w:rPr>
            </w:pPr>
            <w:r w:rsidRPr="003D773B">
              <w:rPr>
                <w:rFonts w:ascii="Arial" w:hAnsi="Arial" w:cs="Arial"/>
                <w:sz w:val="22"/>
                <w:szCs w:val="22"/>
                <w:lang w:val="en-ZA"/>
              </w:rPr>
              <w:t xml:space="preserve">Johannesburg / </w:t>
            </w:r>
            <w:r>
              <w:rPr>
                <w:rFonts w:ascii="Arial" w:hAnsi="Arial" w:cs="Arial"/>
                <w:sz w:val="22"/>
                <w:szCs w:val="22"/>
                <w:lang w:val="en-ZA"/>
              </w:rPr>
              <w:t>27 July</w:t>
            </w:r>
            <w:r w:rsidRPr="003D773B">
              <w:rPr>
                <w:rFonts w:ascii="Arial" w:hAnsi="Arial" w:cs="Arial"/>
                <w:sz w:val="22"/>
                <w:szCs w:val="22"/>
                <w:lang w:val="en-ZA"/>
              </w:rPr>
              <w:t xml:space="preserve"> 2018</w:t>
            </w:r>
          </w:p>
          <w:p w14:paraId="719BA901" w14:textId="77777777" w:rsidR="00B71C76" w:rsidRPr="003D773B" w:rsidRDefault="00B71C76" w:rsidP="00B71C76">
            <w:pPr>
              <w:spacing w:after="120" w:line="276" w:lineRule="auto"/>
              <w:jc w:val="center"/>
              <w:rPr>
                <w:rFonts w:ascii="Arial" w:hAnsi="Arial" w:cs="Arial"/>
                <w:sz w:val="22"/>
                <w:szCs w:val="22"/>
                <w:lang w:val="en-ZA"/>
              </w:rPr>
            </w:pPr>
          </w:p>
          <w:p w14:paraId="7BAF70AA" w14:textId="315AD64E" w:rsidR="00B71C76" w:rsidRDefault="00B71C76" w:rsidP="00B71C76">
            <w:pPr>
              <w:pStyle w:val="NormalWeb"/>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The IRBA today issues a call to audit firms to introduce the public reporting of relevant internal information in the form of a transparency r</w:t>
            </w:r>
            <w:r>
              <w:rPr>
                <w:rFonts w:ascii="Arial" w:hAnsi="Arial" w:cs="Arial"/>
                <w:sz w:val="22"/>
                <w:szCs w:val="22"/>
                <w:lang w:val="en-ZA"/>
              </w:rPr>
              <w:t>eport.</w:t>
            </w:r>
          </w:p>
          <w:p w14:paraId="148219C7" w14:textId="627ABA68" w:rsidR="00B71C76" w:rsidRDefault="00B71C76" w:rsidP="00B71C76">
            <w:pPr>
              <w:pStyle w:val="NormalWeb"/>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A t</w:t>
            </w:r>
            <w:r w:rsidRPr="003D773B">
              <w:rPr>
                <w:rFonts w:ascii="Arial" w:hAnsi="Arial" w:cs="Arial"/>
                <w:sz w:val="22"/>
                <w:szCs w:val="22"/>
                <w:lang w:val="en-ZA"/>
              </w:rPr>
              <w:t xml:space="preserve">ransparency </w:t>
            </w:r>
            <w:r>
              <w:rPr>
                <w:rFonts w:ascii="Arial" w:hAnsi="Arial" w:cs="Arial"/>
                <w:sz w:val="22"/>
                <w:szCs w:val="22"/>
                <w:lang w:val="en-ZA"/>
              </w:rPr>
              <w:t>r</w:t>
            </w:r>
            <w:r w:rsidRPr="003D773B">
              <w:rPr>
                <w:rFonts w:ascii="Arial" w:hAnsi="Arial" w:cs="Arial"/>
                <w:sz w:val="22"/>
                <w:szCs w:val="22"/>
                <w:lang w:val="en-ZA"/>
              </w:rPr>
              <w:t>eport</w:t>
            </w:r>
            <w:r>
              <w:rPr>
                <w:rFonts w:ascii="Arial" w:hAnsi="Arial" w:cs="Arial"/>
                <w:sz w:val="22"/>
                <w:szCs w:val="22"/>
                <w:lang w:val="en-ZA"/>
              </w:rPr>
              <w:t xml:space="preserve"> serves the purpose of</w:t>
            </w:r>
            <w:r>
              <w:rPr>
                <w:rFonts w:ascii="Arial" w:hAnsi="Arial" w:cs="Arial"/>
                <w:sz w:val="22"/>
                <w:szCs w:val="22"/>
                <w:lang w:val="en-ZA"/>
              </w:rPr>
              <w:t xml:space="preserve"> providing insight into a firm'</w:t>
            </w:r>
            <w:r>
              <w:rPr>
                <w:rFonts w:ascii="Arial" w:hAnsi="Arial" w:cs="Arial"/>
                <w:sz w:val="22"/>
                <w:szCs w:val="22"/>
                <w:lang w:val="en-ZA"/>
              </w:rPr>
              <w:t>s:</w:t>
            </w:r>
          </w:p>
          <w:p w14:paraId="5E23B00C" w14:textId="77777777" w:rsidR="00B71C76" w:rsidRDefault="00B71C76" w:rsidP="00B71C76">
            <w:pPr>
              <w:pStyle w:val="NormalWeb"/>
              <w:numPr>
                <w:ilvl w:val="0"/>
                <w:numId w:val="3"/>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Structures and governance processes;</w:t>
            </w:r>
          </w:p>
          <w:p w14:paraId="1A25A483" w14:textId="77777777" w:rsidR="00B71C76" w:rsidRDefault="00B71C76" w:rsidP="00B71C76">
            <w:pPr>
              <w:pStyle w:val="NormalWeb"/>
              <w:numPr>
                <w:ilvl w:val="0"/>
                <w:numId w:val="3"/>
              </w:numPr>
              <w:spacing w:before="0" w:beforeAutospacing="0" w:after="120" w:afterAutospacing="0" w:line="276" w:lineRule="auto"/>
              <w:jc w:val="both"/>
              <w:rPr>
                <w:rFonts w:ascii="Arial" w:hAnsi="Arial" w:cs="Arial"/>
                <w:sz w:val="22"/>
                <w:szCs w:val="22"/>
                <w:lang w:val="en-ZA"/>
              </w:rPr>
            </w:pPr>
            <w:r w:rsidRPr="003D773B">
              <w:rPr>
                <w:rFonts w:ascii="Arial" w:hAnsi="Arial" w:cs="Arial"/>
                <w:sz w:val="22"/>
                <w:szCs w:val="22"/>
                <w:lang w:val="en-ZA"/>
              </w:rPr>
              <w:t>System of quality control and its effectiveness</w:t>
            </w:r>
            <w:r>
              <w:rPr>
                <w:rFonts w:ascii="Arial" w:hAnsi="Arial" w:cs="Arial"/>
                <w:sz w:val="22"/>
                <w:szCs w:val="22"/>
                <w:lang w:val="en-ZA"/>
              </w:rPr>
              <w:t xml:space="preserve">; </w:t>
            </w:r>
          </w:p>
          <w:p w14:paraId="3124FB80" w14:textId="77777777" w:rsidR="00B71C76" w:rsidRDefault="00B71C76" w:rsidP="00B71C76">
            <w:pPr>
              <w:pStyle w:val="NormalWeb"/>
              <w:numPr>
                <w:ilvl w:val="0"/>
                <w:numId w:val="3"/>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 xml:space="preserve">Risks and responses to those risks; and </w:t>
            </w:r>
          </w:p>
          <w:p w14:paraId="72D12308" w14:textId="77777777" w:rsidR="00B71C76" w:rsidRDefault="00B71C76" w:rsidP="00B71C76">
            <w:pPr>
              <w:pStyle w:val="NormalWeb"/>
              <w:numPr>
                <w:ilvl w:val="0"/>
                <w:numId w:val="3"/>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Other relevant information which will assist the IRBA to discharge its oversight responsibilities.</w:t>
            </w:r>
          </w:p>
          <w:p w14:paraId="5C39D953" w14:textId="77777777" w:rsidR="00B71C76" w:rsidRPr="005A6E1B" w:rsidRDefault="00B71C76" w:rsidP="00B71C76">
            <w:pPr>
              <w:pStyle w:val="NormalWeb"/>
              <w:spacing w:before="0" w:beforeAutospacing="0" w:after="120" w:afterAutospacing="0" w:line="276" w:lineRule="auto"/>
              <w:jc w:val="both"/>
              <w:rPr>
                <w:rFonts w:ascii="Arial" w:hAnsi="Arial" w:cs="Arial"/>
                <w:sz w:val="22"/>
                <w:szCs w:val="22"/>
                <w:lang w:val="en-ZA"/>
              </w:rPr>
            </w:pPr>
            <w:r w:rsidRPr="005A6E1B">
              <w:rPr>
                <w:rFonts w:ascii="Arial" w:hAnsi="Arial" w:cs="Arial"/>
                <w:sz w:val="22"/>
                <w:szCs w:val="22"/>
                <w:lang w:val="en-ZA"/>
              </w:rPr>
              <w:t xml:space="preserve">Transparency reporting </w:t>
            </w:r>
            <w:r>
              <w:rPr>
                <w:rFonts w:ascii="Arial" w:hAnsi="Arial" w:cs="Arial"/>
                <w:sz w:val="22"/>
                <w:szCs w:val="22"/>
                <w:lang w:val="en-ZA"/>
              </w:rPr>
              <w:t xml:space="preserve">(or similar reporting) </w:t>
            </w:r>
            <w:r w:rsidRPr="005A6E1B">
              <w:rPr>
                <w:rFonts w:ascii="Arial" w:hAnsi="Arial" w:cs="Arial"/>
                <w:sz w:val="22"/>
                <w:szCs w:val="22"/>
                <w:lang w:val="en-ZA"/>
              </w:rPr>
              <w:t>is mandatory in some jurisdictions, usually for firms that audit public interest entities (PIEs). These jurisdictions include the European Union, the United Kingdom, Japan, Australia and New Zealand, among others. In South Africa</w:t>
            </w:r>
            <w:r>
              <w:rPr>
                <w:rFonts w:ascii="Arial" w:hAnsi="Arial" w:cs="Arial"/>
                <w:sz w:val="22"/>
                <w:szCs w:val="22"/>
                <w:lang w:val="en-ZA"/>
              </w:rPr>
              <w:t>, the first t</w:t>
            </w:r>
            <w:r w:rsidRPr="005A6E1B">
              <w:rPr>
                <w:rFonts w:ascii="Arial" w:hAnsi="Arial" w:cs="Arial"/>
                <w:sz w:val="22"/>
                <w:szCs w:val="22"/>
                <w:lang w:val="en-ZA"/>
              </w:rPr>
              <w:t xml:space="preserve">ransparency </w:t>
            </w:r>
            <w:r>
              <w:rPr>
                <w:rFonts w:ascii="Arial" w:hAnsi="Arial" w:cs="Arial"/>
                <w:sz w:val="22"/>
                <w:szCs w:val="22"/>
                <w:lang w:val="en-ZA"/>
              </w:rPr>
              <w:t>r</w:t>
            </w:r>
            <w:r w:rsidRPr="005A6E1B">
              <w:rPr>
                <w:rFonts w:ascii="Arial" w:hAnsi="Arial" w:cs="Arial"/>
                <w:sz w:val="22"/>
                <w:szCs w:val="22"/>
                <w:lang w:val="en-ZA"/>
              </w:rPr>
              <w:t>eports</w:t>
            </w:r>
            <w:r>
              <w:rPr>
                <w:rFonts w:ascii="Arial" w:hAnsi="Arial" w:cs="Arial"/>
                <w:sz w:val="22"/>
                <w:szCs w:val="22"/>
                <w:lang w:val="en-ZA"/>
              </w:rPr>
              <w:t xml:space="preserve"> have been published</w:t>
            </w:r>
            <w:r w:rsidRPr="005A6E1B">
              <w:rPr>
                <w:rFonts w:ascii="Arial" w:hAnsi="Arial" w:cs="Arial"/>
                <w:sz w:val="22"/>
                <w:szCs w:val="22"/>
                <w:lang w:val="en-ZA"/>
              </w:rPr>
              <w:t xml:space="preserve"> on a voluntary basis.</w:t>
            </w:r>
          </w:p>
          <w:p w14:paraId="325322E4" w14:textId="29394A91" w:rsidR="00B71C76" w:rsidRPr="003D773B" w:rsidRDefault="00B71C76" w:rsidP="00B71C76">
            <w:pPr>
              <w:pStyle w:val="NormalWeb"/>
              <w:spacing w:before="0" w:beforeAutospacing="0" w:after="120" w:afterAutospacing="0" w:line="276" w:lineRule="auto"/>
              <w:jc w:val="both"/>
              <w:rPr>
                <w:rFonts w:ascii="Arial" w:hAnsi="Arial" w:cs="Arial"/>
                <w:sz w:val="22"/>
                <w:szCs w:val="22"/>
                <w:lang w:val="en-ZA"/>
              </w:rPr>
            </w:pPr>
            <w:r w:rsidRPr="003D773B">
              <w:rPr>
                <w:rFonts w:ascii="Arial" w:hAnsi="Arial" w:cs="Arial"/>
                <w:sz w:val="22"/>
                <w:szCs w:val="22"/>
                <w:lang w:val="en-ZA"/>
              </w:rPr>
              <w:t xml:space="preserve">In 2015 the International Auditing and Assurance Standards Board (the IAASB) issued the </w:t>
            </w:r>
            <w:r w:rsidRPr="003D773B">
              <w:rPr>
                <w:rFonts w:ascii="Arial" w:hAnsi="Arial" w:cs="Arial"/>
                <w:i/>
                <w:sz w:val="22"/>
                <w:szCs w:val="22"/>
                <w:lang w:val="en-ZA"/>
              </w:rPr>
              <w:t>Invitation to Comment: Enhancing Audit Quality in the Public Interest: A Focus on Professional Skepticism, Quality Control and Group Audits</w:t>
            </w:r>
            <w:r w:rsidRPr="003D773B">
              <w:rPr>
                <w:rFonts w:ascii="Arial" w:hAnsi="Arial" w:cs="Arial"/>
                <w:sz w:val="22"/>
                <w:szCs w:val="22"/>
                <w:lang w:val="en-ZA"/>
              </w:rPr>
              <w:t xml:space="preserve"> (the ITC), which introduced the topic of transparency reporting. According to the ITC: </w:t>
            </w:r>
            <w:r w:rsidR="00256587">
              <w:rPr>
                <w:rFonts w:ascii="Arial" w:hAnsi="Arial" w:cs="Arial"/>
                <w:sz w:val="22"/>
                <w:szCs w:val="22"/>
                <w:lang w:val="en-ZA"/>
              </w:rPr>
              <w:t>'</w:t>
            </w:r>
            <w:r w:rsidRPr="003D773B">
              <w:rPr>
                <w:rFonts w:ascii="Arial" w:hAnsi="Arial" w:cs="Arial"/>
                <w:sz w:val="22"/>
                <w:szCs w:val="22"/>
                <w:lang w:val="en-ZA"/>
              </w:rPr>
              <w:t>Firms are increasingly issuing publicly available reports that provide transparency regarding certain elements of the firm and its operations, also referred to as transparency reports.</w:t>
            </w:r>
            <w:r w:rsidR="00256587">
              <w:rPr>
                <w:rFonts w:ascii="Arial" w:hAnsi="Arial" w:cs="Arial"/>
                <w:sz w:val="22"/>
                <w:szCs w:val="22"/>
                <w:lang w:val="en-ZA"/>
              </w:rPr>
              <w:t>'</w:t>
            </w:r>
          </w:p>
          <w:p w14:paraId="3A6E4139" w14:textId="22D7C0AC" w:rsidR="00B71C76" w:rsidRDefault="00B71C76" w:rsidP="00B71C76">
            <w:pPr>
              <w:pStyle w:val="NormalWeb"/>
              <w:spacing w:before="0" w:beforeAutospacing="0" w:after="120" w:afterAutospacing="0" w:line="276" w:lineRule="auto"/>
              <w:jc w:val="both"/>
              <w:rPr>
                <w:rFonts w:ascii="Arial" w:hAnsi="Arial" w:cs="Arial"/>
                <w:sz w:val="22"/>
                <w:szCs w:val="22"/>
                <w:lang w:val="en-ZA"/>
              </w:rPr>
            </w:pPr>
            <w:r w:rsidRPr="003D773B">
              <w:rPr>
                <w:rFonts w:ascii="Arial" w:hAnsi="Arial" w:cs="Arial"/>
                <w:sz w:val="22"/>
                <w:szCs w:val="22"/>
                <w:lang w:val="en-ZA"/>
              </w:rPr>
              <w:t xml:space="preserve">Transparency </w:t>
            </w:r>
            <w:r>
              <w:rPr>
                <w:rFonts w:ascii="Arial" w:hAnsi="Arial" w:cs="Arial"/>
                <w:sz w:val="22"/>
                <w:szCs w:val="22"/>
                <w:lang w:val="en-ZA"/>
              </w:rPr>
              <w:t>r</w:t>
            </w:r>
            <w:r w:rsidRPr="003D773B">
              <w:rPr>
                <w:rFonts w:ascii="Arial" w:hAnsi="Arial" w:cs="Arial"/>
                <w:sz w:val="22"/>
                <w:szCs w:val="22"/>
                <w:lang w:val="en-ZA"/>
              </w:rPr>
              <w:t xml:space="preserve">eports are a reflection by the firm on its audit quality. Reports </w:t>
            </w:r>
            <w:r>
              <w:rPr>
                <w:rFonts w:ascii="Arial" w:hAnsi="Arial" w:cs="Arial"/>
                <w:sz w:val="22"/>
                <w:szCs w:val="22"/>
                <w:lang w:val="en-ZA"/>
              </w:rPr>
              <w:t>will provide users with the information tha</w:t>
            </w:r>
            <w:r w:rsidR="00256587">
              <w:rPr>
                <w:rFonts w:ascii="Arial" w:hAnsi="Arial" w:cs="Arial"/>
                <w:sz w:val="22"/>
                <w:szCs w:val="22"/>
                <w:lang w:val="en-ZA"/>
              </w:rPr>
              <w:t>t help them understand the firm'</w:t>
            </w:r>
            <w:r>
              <w:rPr>
                <w:rFonts w:ascii="Arial" w:hAnsi="Arial" w:cs="Arial"/>
                <w:sz w:val="22"/>
                <w:szCs w:val="22"/>
                <w:lang w:val="en-ZA"/>
              </w:rPr>
              <w:t>s approach to:</w:t>
            </w:r>
          </w:p>
          <w:p w14:paraId="32C8EA9E" w14:textId="77777777" w:rsidR="00B71C76" w:rsidRDefault="00B71C76" w:rsidP="00B71C76">
            <w:pPr>
              <w:pStyle w:val="NormalWeb"/>
              <w:numPr>
                <w:ilvl w:val="0"/>
                <w:numId w:val="4"/>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Leadership, culture and ethics;</w:t>
            </w:r>
          </w:p>
          <w:p w14:paraId="60DD911A" w14:textId="7555F2D5" w:rsidR="00B71C76" w:rsidRPr="001A157B" w:rsidRDefault="00B71C76" w:rsidP="00B71C76">
            <w:pPr>
              <w:pStyle w:val="NormalWeb"/>
              <w:numPr>
                <w:ilvl w:val="0"/>
                <w:numId w:val="4"/>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 xml:space="preserve">The </w:t>
            </w:r>
            <w:r w:rsidR="00256587">
              <w:rPr>
                <w:rFonts w:ascii="Arial" w:hAnsi="Arial" w:cs="Arial"/>
                <w:sz w:val="22"/>
                <w:szCs w:val="22"/>
                <w:lang w:val="en-ZA"/>
              </w:rPr>
              <w:t>firm'</w:t>
            </w:r>
            <w:r>
              <w:rPr>
                <w:rFonts w:ascii="Arial" w:hAnsi="Arial" w:cs="Arial"/>
                <w:sz w:val="22"/>
                <w:szCs w:val="22"/>
                <w:lang w:val="en-ZA"/>
              </w:rPr>
              <w:t>s risk management practices;</w:t>
            </w:r>
            <w:r w:rsidRPr="001A157B">
              <w:rPr>
                <w:rFonts w:ascii="Arial" w:hAnsi="Arial" w:cs="Arial"/>
                <w:sz w:val="22"/>
                <w:szCs w:val="22"/>
                <w:lang w:val="en-ZA"/>
              </w:rPr>
              <w:t xml:space="preserve"> </w:t>
            </w:r>
          </w:p>
          <w:p w14:paraId="2F148D41" w14:textId="77777777" w:rsidR="00B71C76" w:rsidRPr="00E44632" w:rsidRDefault="00B71C76" w:rsidP="00B71C76">
            <w:pPr>
              <w:pStyle w:val="NormalWeb"/>
              <w:numPr>
                <w:ilvl w:val="0"/>
                <w:numId w:val="4"/>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Its relationship with staff and service providers;</w:t>
            </w:r>
          </w:p>
          <w:p w14:paraId="427BC54A" w14:textId="77777777" w:rsidR="00B71C76" w:rsidRDefault="00B71C76" w:rsidP="00B71C76">
            <w:pPr>
              <w:pStyle w:val="NormalWeb"/>
              <w:numPr>
                <w:ilvl w:val="0"/>
                <w:numId w:val="4"/>
              </w:numPr>
              <w:spacing w:before="0" w:beforeAutospacing="0" w:after="120" w:afterAutospacing="0" w:line="276" w:lineRule="auto"/>
              <w:jc w:val="both"/>
              <w:rPr>
                <w:rFonts w:ascii="Arial" w:hAnsi="Arial" w:cs="Arial"/>
                <w:sz w:val="22"/>
                <w:szCs w:val="22"/>
                <w:lang w:val="en-ZA"/>
              </w:rPr>
            </w:pPr>
            <w:r w:rsidRPr="003D773B">
              <w:rPr>
                <w:rFonts w:ascii="Arial" w:hAnsi="Arial" w:cs="Arial"/>
                <w:sz w:val="22"/>
                <w:szCs w:val="22"/>
                <w:lang w:val="en-ZA"/>
              </w:rPr>
              <w:t>Independence</w:t>
            </w:r>
            <w:r>
              <w:rPr>
                <w:rFonts w:ascii="Arial" w:hAnsi="Arial" w:cs="Arial"/>
                <w:sz w:val="22"/>
                <w:szCs w:val="22"/>
                <w:lang w:val="en-ZA"/>
              </w:rPr>
              <w:t>; and</w:t>
            </w:r>
          </w:p>
          <w:p w14:paraId="214C7716" w14:textId="77777777" w:rsidR="00B71C76" w:rsidRPr="003D773B" w:rsidRDefault="00B71C76" w:rsidP="00B71C76">
            <w:pPr>
              <w:pStyle w:val="NormalWeb"/>
              <w:numPr>
                <w:ilvl w:val="0"/>
                <w:numId w:val="4"/>
              </w:numPr>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Addressing its</w:t>
            </w:r>
            <w:r w:rsidRPr="003D773B">
              <w:rPr>
                <w:rFonts w:ascii="Arial" w:hAnsi="Arial" w:cs="Arial"/>
                <w:sz w:val="22"/>
                <w:szCs w:val="22"/>
                <w:lang w:val="en-ZA"/>
              </w:rPr>
              <w:t xml:space="preserve"> external and internal </w:t>
            </w:r>
            <w:r>
              <w:rPr>
                <w:rFonts w:ascii="Arial" w:hAnsi="Arial" w:cs="Arial"/>
                <w:sz w:val="22"/>
                <w:szCs w:val="22"/>
                <w:lang w:val="en-ZA"/>
              </w:rPr>
              <w:t xml:space="preserve">inspection and monitoring </w:t>
            </w:r>
            <w:r w:rsidRPr="003D773B">
              <w:rPr>
                <w:rFonts w:ascii="Arial" w:hAnsi="Arial" w:cs="Arial"/>
                <w:sz w:val="22"/>
                <w:szCs w:val="22"/>
                <w:lang w:val="en-ZA"/>
              </w:rPr>
              <w:t>results.</w:t>
            </w:r>
          </w:p>
          <w:p w14:paraId="0D813A3F" w14:textId="37CE7FF4" w:rsidR="00B71C76" w:rsidRPr="003D773B" w:rsidRDefault="00B71C76" w:rsidP="00B71C76">
            <w:pPr>
              <w:pStyle w:val="NormalWeb"/>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There is an increased need for current and prospective clients to have access to firm and engagement level information, through a transparency report, to support long term planning of the audit service, and to support the tendering process for audits ahead of rotating their audit firm.</w:t>
            </w:r>
            <w:r w:rsidRPr="003D773B">
              <w:rPr>
                <w:rFonts w:ascii="Arial" w:hAnsi="Arial" w:cs="Arial"/>
                <w:sz w:val="22"/>
                <w:szCs w:val="22"/>
                <w:lang w:val="en-ZA"/>
              </w:rPr>
              <w:t xml:space="preserve"> With the current unprecedented level of scrutiny </w:t>
            </w:r>
            <w:r>
              <w:rPr>
                <w:rFonts w:ascii="Arial" w:hAnsi="Arial" w:cs="Arial"/>
                <w:sz w:val="22"/>
                <w:szCs w:val="22"/>
                <w:lang w:val="en-ZA"/>
              </w:rPr>
              <w:t>on</w:t>
            </w:r>
            <w:r w:rsidR="00256587">
              <w:rPr>
                <w:rFonts w:ascii="Arial" w:hAnsi="Arial" w:cs="Arial"/>
                <w:sz w:val="22"/>
                <w:szCs w:val="22"/>
                <w:lang w:val="en-ZA"/>
              </w:rPr>
              <w:t xml:space="preserve"> audit firms, it is in a firm'</w:t>
            </w:r>
            <w:r w:rsidRPr="003D773B">
              <w:rPr>
                <w:rFonts w:ascii="Arial" w:hAnsi="Arial" w:cs="Arial"/>
                <w:sz w:val="22"/>
                <w:szCs w:val="22"/>
                <w:lang w:val="en-ZA"/>
              </w:rPr>
              <w:t>s best interest to be transparent</w:t>
            </w:r>
            <w:r>
              <w:rPr>
                <w:rFonts w:ascii="Arial" w:hAnsi="Arial" w:cs="Arial"/>
                <w:sz w:val="22"/>
                <w:szCs w:val="22"/>
                <w:lang w:val="en-ZA"/>
              </w:rPr>
              <w:t>, and for the audit industry to embrace the attitude of disclosure and transparency that is encouraged among their clients.</w:t>
            </w:r>
          </w:p>
          <w:p w14:paraId="31A43FA8" w14:textId="55A71046" w:rsidR="00B71C76" w:rsidRDefault="00B71C76" w:rsidP="00B71C76">
            <w:pPr>
              <w:pStyle w:val="NormalWeb"/>
              <w:spacing w:before="0" w:beforeAutospacing="0" w:after="120" w:afterAutospacing="0" w:line="276" w:lineRule="auto"/>
              <w:jc w:val="both"/>
              <w:rPr>
                <w:rFonts w:ascii="Arial" w:hAnsi="Arial" w:cs="Arial"/>
                <w:sz w:val="22"/>
                <w:szCs w:val="22"/>
                <w:lang w:val="en-ZA"/>
              </w:rPr>
            </w:pPr>
            <w:r w:rsidRPr="003D773B">
              <w:rPr>
                <w:rFonts w:ascii="Arial" w:hAnsi="Arial" w:cs="Arial"/>
                <w:sz w:val="22"/>
                <w:szCs w:val="22"/>
                <w:lang w:val="en-ZA"/>
              </w:rPr>
              <w:t xml:space="preserve">The </w:t>
            </w:r>
            <w:r w:rsidR="00256587">
              <w:rPr>
                <w:rFonts w:ascii="Arial" w:hAnsi="Arial" w:cs="Arial"/>
                <w:sz w:val="22"/>
                <w:szCs w:val="22"/>
                <w:lang w:val="en-ZA"/>
              </w:rPr>
              <w:t>IAASB'</w:t>
            </w:r>
            <w:r w:rsidRPr="003D773B">
              <w:rPr>
                <w:rFonts w:ascii="Arial" w:hAnsi="Arial" w:cs="Arial"/>
                <w:sz w:val="22"/>
                <w:szCs w:val="22"/>
                <w:lang w:val="en-ZA"/>
              </w:rPr>
              <w:t xml:space="preserve">s International Standard on Quality Control (ISQC) 1, </w:t>
            </w:r>
            <w:r w:rsidRPr="003D773B">
              <w:rPr>
                <w:rFonts w:ascii="Arial" w:hAnsi="Arial" w:cs="Arial"/>
                <w:i/>
                <w:sz w:val="22"/>
                <w:szCs w:val="22"/>
                <w:lang w:val="en-ZA"/>
              </w:rPr>
              <w:t>Quality Control for Firms that Perform Audits and Reviews of Financial Statements, and Other Assurance and Related Services Engagements</w:t>
            </w:r>
            <w:r w:rsidRPr="003D773B">
              <w:rPr>
                <w:rFonts w:ascii="Arial" w:hAnsi="Arial" w:cs="Arial"/>
                <w:sz w:val="22"/>
                <w:szCs w:val="22"/>
                <w:lang w:val="en-ZA"/>
              </w:rPr>
              <w:t xml:space="preserve">, issued in 2009, which is applicable to all firms, is in the process of being revised. </w:t>
            </w:r>
            <w:r>
              <w:rPr>
                <w:rFonts w:ascii="Arial" w:hAnsi="Arial" w:cs="Arial"/>
                <w:sz w:val="22"/>
                <w:szCs w:val="22"/>
                <w:lang w:val="en-ZA"/>
              </w:rPr>
              <w:lastRenderedPageBreak/>
              <w:t>Current drafts of</w:t>
            </w:r>
            <w:r w:rsidRPr="003D773B">
              <w:rPr>
                <w:rFonts w:ascii="Arial" w:hAnsi="Arial" w:cs="Arial"/>
                <w:sz w:val="22"/>
                <w:szCs w:val="22"/>
                <w:lang w:val="en-ZA"/>
              </w:rPr>
              <w:t xml:space="preserve"> proposed </w:t>
            </w:r>
            <w:r>
              <w:rPr>
                <w:rFonts w:ascii="Arial" w:hAnsi="Arial" w:cs="Arial"/>
                <w:sz w:val="22"/>
                <w:szCs w:val="22"/>
                <w:lang w:val="en-ZA"/>
              </w:rPr>
              <w:t>ED</w:t>
            </w:r>
            <w:r w:rsidRPr="003D773B">
              <w:rPr>
                <w:rFonts w:ascii="Arial" w:hAnsi="Arial" w:cs="Arial"/>
                <w:sz w:val="22"/>
                <w:szCs w:val="22"/>
                <w:lang w:val="en-ZA"/>
              </w:rPr>
              <w:t xml:space="preserve"> ISQC 1</w:t>
            </w:r>
            <w:r>
              <w:rPr>
                <w:rFonts w:ascii="Arial" w:hAnsi="Arial" w:cs="Arial"/>
                <w:sz w:val="22"/>
                <w:szCs w:val="22"/>
                <w:lang w:val="en-ZA"/>
              </w:rPr>
              <w:t xml:space="preserve"> discussed by the IAASB</w:t>
            </w:r>
            <w:r w:rsidRPr="003D773B">
              <w:rPr>
                <w:rFonts w:ascii="Arial" w:hAnsi="Arial" w:cs="Arial"/>
                <w:sz w:val="22"/>
                <w:szCs w:val="22"/>
                <w:lang w:val="en-ZA"/>
              </w:rPr>
              <w:t xml:space="preserve"> recognise </w:t>
            </w:r>
            <w:r>
              <w:rPr>
                <w:rFonts w:ascii="Arial" w:hAnsi="Arial" w:cs="Arial"/>
                <w:sz w:val="22"/>
                <w:szCs w:val="22"/>
                <w:lang w:val="en-ZA"/>
              </w:rPr>
              <w:t>the role of external communication in a system of qua</w:t>
            </w:r>
            <w:r w:rsidR="00256587">
              <w:rPr>
                <w:rFonts w:ascii="Arial" w:hAnsi="Arial" w:cs="Arial"/>
                <w:sz w:val="22"/>
                <w:szCs w:val="22"/>
                <w:lang w:val="en-ZA"/>
              </w:rPr>
              <w:t>lity management and that a firm'</w:t>
            </w:r>
            <w:r>
              <w:rPr>
                <w:rFonts w:ascii="Arial" w:hAnsi="Arial" w:cs="Arial"/>
                <w:sz w:val="22"/>
                <w:szCs w:val="22"/>
                <w:lang w:val="en-ZA"/>
              </w:rPr>
              <w:t xml:space="preserve">s external </w:t>
            </w:r>
            <w:r w:rsidRPr="003D773B">
              <w:rPr>
                <w:rFonts w:ascii="Arial" w:hAnsi="Arial" w:cs="Arial"/>
                <w:sz w:val="22"/>
                <w:szCs w:val="22"/>
                <w:lang w:val="en-ZA"/>
              </w:rPr>
              <w:t xml:space="preserve">reporting </w:t>
            </w:r>
            <w:r>
              <w:rPr>
                <w:rFonts w:ascii="Arial" w:hAnsi="Arial" w:cs="Arial"/>
                <w:sz w:val="22"/>
                <w:szCs w:val="22"/>
                <w:lang w:val="en-ZA"/>
              </w:rPr>
              <w:t>obligations could</w:t>
            </w:r>
            <w:r w:rsidRPr="003D773B">
              <w:rPr>
                <w:rFonts w:ascii="Arial" w:hAnsi="Arial" w:cs="Arial"/>
                <w:sz w:val="22"/>
                <w:szCs w:val="22"/>
                <w:lang w:val="en-ZA"/>
              </w:rPr>
              <w:t xml:space="preserve"> be established in law, legislation or professional standards in different jurisdictions. </w:t>
            </w:r>
            <w:r>
              <w:rPr>
                <w:rFonts w:ascii="Arial" w:hAnsi="Arial" w:cs="Arial"/>
                <w:sz w:val="22"/>
                <w:szCs w:val="22"/>
                <w:lang w:val="en-ZA"/>
              </w:rPr>
              <w:t>The drafts further</w:t>
            </w:r>
            <w:r w:rsidRPr="003D773B">
              <w:rPr>
                <w:rFonts w:ascii="Arial" w:hAnsi="Arial" w:cs="Arial"/>
                <w:sz w:val="22"/>
                <w:szCs w:val="22"/>
                <w:lang w:val="en-ZA"/>
              </w:rPr>
              <w:t xml:space="preserve"> anticipate that the firm will communicate </w:t>
            </w:r>
            <w:r>
              <w:rPr>
                <w:rFonts w:ascii="Arial" w:hAnsi="Arial" w:cs="Arial"/>
                <w:sz w:val="22"/>
                <w:szCs w:val="22"/>
                <w:lang w:val="en-ZA"/>
              </w:rPr>
              <w:t xml:space="preserve">relevant </w:t>
            </w:r>
            <w:r w:rsidRPr="003D773B">
              <w:rPr>
                <w:rFonts w:ascii="Arial" w:hAnsi="Arial" w:cs="Arial"/>
                <w:sz w:val="22"/>
                <w:szCs w:val="22"/>
                <w:lang w:val="en-ZA"/>
              </w:rPr>
              <w:t xml:space="preserve">information about its system of quality management to </w:t>
            </w:r>
            <w:r>
              <w:rPr>
                <w:rFonts w:ascii="Arial" w:hAnsi="Arial" w:cs="Arial"/>
                <w:sz w:val="22"/>
                <w:szCs w:val="22"/>
                <w:lang w:val="en-ZA"/>
              </w:rPr>
              <w:t xml:space="preserve">relevant </w:t>
            </w:r>
            <w:r w:rsidRPr="003D773B">
              <w:rPr>
                <w:rFonts w:ascii="Arial" w:hAnsi="Arial" w:cs="Arial"/>
                <w:sz w:val="22"/>
                <w:szCs w:val="22"/>
                <w:lang w:val="en-ZA"/>
              </w:rPr>
              <w:t xml:space="preserve">external parties. </w:t>
            </w:r>
            <w:r>
              <w:rPr>
                <w:rFonts w:ascii="Arial" w:hAnsi="Arial" w:cs="Arial"/>
                <w:sz w:val="22"/>
                <w:szCs w:val="22"/>
                <w:lang w:val="en-ZA"/>
              </w:rPr>
              <w:t>While we await the development and finalisation of this standard, the IRBA through this announcement is encouraging the voluntary development of this reporting in the industry, and look forward to preparers sharing these reports with the IRBA and the community of users relevant to that firm.</w:t>
            </w:r>
          </w:p>
          <w:p w14:paraId="052ACF6D" w14:textId="77777777" w:rsidR="00B71C76" w:rsidRPr="003D773B" w:rsidRDefault="00B71C76" w:rsidP="00B71C76">
            <w:pPr>
              <w:pStyle w:val="NormalWeb"/>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When this draft standard is finalised, t</w:t>
            </w:r>
            <w:r w:rsidRPr="003D773B">
              <w:rPr>
                <w:rFonts w:ascii="Arial" w:hAnsi="Arial" w:cs="Arial"/>
                <w:sz w:val="22"/>
                <w:szCs w:val="22"/>
                <w:lang w:val="en-ZA"/>
              </w:rPr>
              <w:t>he IRBA may use this standard as a basis to prescribe report</w:t>
            </w:r>
            <w:r>
              <w:rPr>
                <w:rFonts w:ascii="Arial" w:hAnsi="Arial" w:cs="Arial"/>
                <w:sz w:val="22"/>
                <w:szCs w:val="22"/>
                <w:lang w:val="en-ZA"/>
              </w:rPr>
              <w:t>ing, including</w:t>
            </w:r>
            <w:r w:rsidRPr="003D773B">
              <w:rPr>
                <w:rFonts w:ascii="Arial" w:hAnsi="Arial" w:cs="Arial"/>
                <w:sz w:val="22"/>
                <w:szCs w:val="22"/>
                <w:lang w:val="en-ZA"/>
              </w:rPr>
              <w:t xml:space="preserve"> t</w:t>
            </w:r>
            <w:r>
              <w:rPr>
                <w:rFonts w:ascii="Arial" w:hAnsi="Arial" w:cs="Arial"/>
                <w:sz w:val="22"/>
                <w:szCs w:val="22"/>
                <w:lang w:val="en-ZA"/>
              </w:rPr>
              <w:t>he report scope, contents, recipients and responsibility.</w:t>
            </w:r>
          </w:p>
          <w:p w14:paraId="56642F56" w14:textId="77777777" w:rsidR="00B71C76" w:rsidRPr="003D773B" w:rsidRDefault="00B71C76" w:rsidP="00B71C76">
            <w:pPr>
              <w:pStyle w:val="NormalWeb"/>
              <w:spacing w:before="0" w:beforeAutospacing="0" w:after="120" w:afterAutospacing="0" w:line="276" w:lineRule="auto"/>
              <w:jc w:val="both"/>
              <w:rPr>
                <w:rFonts w:ascii="Arial" w:hAnsi="Arial" w:cs="Arial"/>
                <w:sz w:val="22"/>
                <w:szCs w:val="22"/>
                <w:lang w:val="en-ZA"/>
              </w:rPr>
            </w:pPr>
            <w:r w:rsidRPr="003D773B">
              <w:rPr>
                <w:rFonts w:ascii="Arial" w:hAnsi="Arial" w:cs="Arial"/>
                <w:sz w:val="22"/>
                <w:szCs w:val="22"/>
                <w:lang w:val="en-ZA"/>
              </w:rPr>
              <w:t xml:space="preserve">The IRBA has created a webpage that is a central source </w:t>
            </w:r>
            <w:r>
              <w:rPr>
                <w:rFonts w:ascii="Arial" w:hAnsi="Arial" w:cs="Arial"/>
                <w:sz w:val="22"/>
                <w:szCs w:val="22"/>
                <w:lang w:val="en-ZA"/>
              </w:rPr>
              <w:t>for</w:t>
            </w:r>
            <w:r w:rsidRPr="003D773B">
              <w:rPr>
                <w:rFonts w:ascii="Arial" w:hAnsi="Arial" w:cs="Arial"/>
                <w:sz w:val="22"/>
                <w:szCs w:val="22"/>
                <w:lang w:val="en-ZA"/>
              </w:rPr>
              <w:t xml:space="preserve"> all guidance or other information currently available </w:t>
            </w:r>
            <w:r>
              <w:rPr>
                <w:rFonts w:ascii="Arial" w:hAnsi="Arial" w:cs="Arial"/>
                <w:sz w:val="22"/>
                <w:szCs w:val="22"/>
                <w:lang w:val="en-ZA"/>
              </w:rPr>
              <w:t>in relation</w:t>
            </w:r>
            <w:r w:rsidRPr="003D773B">
              <w:rPr>
                <w:rFonts w:ascii="Arial" w:hAnsi="Arial" w:cs="Arial"/>
                <w:sz w:val="22"/>
                <w:szCs w:val="22"/>
                <w:lang w:val="en-ZA"/>
              </w:rPr>
              <w:t xml:space="preserve"> to transparency reporting. The webpage includes links to legislation mandating transparency reporting in other parts of the world, publications related to transparency reporting and links to examples of transparency reports that have been issued, both locally and internationally.</w:t>
            </w:r>
            <w:r>
              <w:rPr>
                <w:rFonts w:ascii="Arial" w:hAnsi="Arial" w:cs="Arial"/>
                <w:sz w:val="22"/>
                <w:szCs w:val="22"/>
                <w:lang w:val="en-ZA"/>
              </w:rPr>
              <w:t xml:space="preserve"> These resources would be helpful to firms embarking on preparing a transparency report.</w:t>
            </w:r>
          </w:p>
          <w:p w14:paraId="5C78CC8F" w14:textId="74096A9C" w:rsidR="00B71C76" w:rsidRPr="003D773B" w:rsidRDefault="00B71C76" w:rsidP="00B71C76">
            <w:pPr>
              <w:pStyle w:val="NormalWeb"/>
              <w:spacing w:before="0" w:beforeAutospacing="0" w:after="120" w:afterAutospacing="0" w:line="276" w:lineRule="auto"/>
              <w:jc w:val="both"/>
              <w:rPr>
                <w:rFonts w:ascii="Arial" w:hAnsi="Arial" w:cs="Arial"/>
                <w:sz w:val="22"/>
                <w:szCs w:val="22"/>
                <w:lang w:val="en-ZA"/>
              </w:rPr>
            </w:pPr>
            <w:r>
              <w:rPr>
                <w:rFonts w:ascii="Arial" w:hAnsi="Arial" w:cs="Arial"/>
                <w:sz w:val="22"/>
                <w:szCs w:val="22"/>
                <w:lang w:val="en-ZA"/>
              </w:rPr>
              <w:t>Firms are encouraged to develop t</w:t>
            </w:r>
            <w:r w:rsidRPr="003D773B">
              <w:rPr>
                <w:rFonts w:ascii="Arial" w:hAnsi="Arial" w:cs="Arial"/>
                <w:sz w:val="22"/>
                <w:szCs w:val="22"/>
                <w:lang w:val="en-ZA"/>
              </w:rPr>
              <w:t xml:space="preserve">ransparency reports </w:t>
            </w:r>
            <w:r>
              <w:rPr>
                <w:rFonts w:ascii="Arial" w:hAnsi="Arial" w:cs="Arial"/>
                <w:sz w:val="22"/>
                <w:szCs w:val="22"/>
                <w:lang w:val="en-ZA"/>
              </w:rPr>
              <w:t xml:space="preserve">for the </w:t>
            </w:r>
            <w:r w:rsidRPr="003D773B">
              <w:rPr>
                <w:rFonts w:ascii="Arial" w:hAnsi="Arial" w:cs="Arial"/>
                <w:sz w:val="22"/>
                <w:szCs w:val="22"/>
                <w:lang w:val="en-ZA"/>
              </w:rPr>
              <w:t>South Africa</w:t>
            </w:r>
            <w:r>
              <w:rPr>
                <w:rFonts w:ascii="Arial" w:hAnsi="Arial" w:cs="Arial"/>
                <w:sz w:val="22"/>
                <w:szCs w:val="22"/>
                <w:lang w:val="en-ZA"/>
              </w:rPr>
              <w:t>n market-place that</w:t>
            </w:r>
            <w:r w:rsidRPr="003D773B">
              <w:rPr>
                <w:rFonts w:ascii="Arial" w:hAnsi="Arial" w:cs="Arial"/>
                <w:sz w:val="22"/>
                <w:szCs w:val="22"/>
                <w:lang w:val="en-ZA"/>
              </w:rPr>
              <w:t xml:space="preserve"> include</w:t>
            </w:r>
            <w:r>
              <w:rPr>
                <w:rFonts w:ascii="Arial" w:hAnsi="Arial" w:cs="Arial"/>
                <w:sz w:val="22"/>
                <w:szCs w:val="22"/>
                <w:lang w:val="en-ZA"/>
              </w:rPr>
              <w:t>, for example,</w:t>
            </w:r>
            <w:r w:rsidRPr="003D773B">
              <w:rPr>
                <w:rFonts w:ascii="Arial" w:hAnsi="Arial" w:cs="Arial"/>
                <w:sz w:val="22"/>
                <w:szCs w:val="22"/>
                <w:lang w:val="en-ZA"/>
              </w:rPr>
              <w:t xml:space="preserve"> a</w:t>
            </w:r>
            <w:r>
              <w:rPr>
                <w:rFonts w:ascii="Arial" w:hAnsi="Arial" w:cs="Arial"/>
                <w:sz w:val="22"/>
                <w:szCs w:val="22"/>
                <w:lang w:val="en-ZA"/>
              </w:rPr>
              <w:t xml:space="preserve"> relevant discussion and disclosures about the firm</w:t>
            </w:r>
            <w:r w:rsidR="00256587">
              <w:rPr>
                <w:rFonts w:ascii="Arial" w:hAnsi="Arial" w:cs="Arial"/>
                <w:sz w:val="22"/>
                <w:szCs w:val="22"/>
                <w:lang w:val="en-ZA"/>
              </w:rPr>
              <w:t>'</w:t>
            </w:r>
            <w:r>
              <w:rPr>
                <w:rFonts w:ascii="Arial" w:hAnsi="Arial" w:cs="Arial"/>
                <w:sz w:val="22"/>
                <w:szCs w:val="22"/>
                <w:lang w:val="en-ZA"/>
              </w:rPr>
              <w:t>s:</w:t>
            </w:r>
          </w:p>
          <w:p w14:paraId="214C6D62" w14:textId="77777777" w:rsidR="00B71C76" w:rsidRPr="003D773B" w:rsidRDefault="00B71C76" w:rsidP="00B71C76">
            <w:pPr>
              <w:pStyle w:val="ListParagraph"/>
              <w:numPr>
                <w:ilvl w:val="0"/>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Structure:</w:t>
            </w:r>
          </w:p>
          <w:p w14:paraId="0C0CFD81"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Legal</w:t>
            </w:r>
            <w:r>
              <w:rPr>
                <w:rFonts w:ascii="Arial" w:eastAsia="Times New Roman" w:hAnsi="Arial" w:cs="Arial"/>
                <w:lang w:val="en-ZA"/>
              </w:rPr>
              <w:t xml:space="preserve"> arrangements</w:t>
            </w:r>
            <w:r w:rsidRPr="003D773B">
              <w:rPr>
                <w:rFonts w:ascii="Arial" w:eastAsia="Times New Roman" w:hAnsi="Arial" w:cs="Arial"/>
                <w:lang w:val="en-ZA"/>
              </w:rPr>
              <w:t xml:space="preserve"> </w:t>
            </w:r>
          </w:p>
          <w:p w14:paraId="6965FA7A"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Governance</w:t>
            </w:r>
            <w:r>
              <w:rPr>
                <w:rFonts w:ascii="Arial" w:eastAsia="Times New Roman" w:hAnsi="Arial" w:cs="Arial"/>
                <w:lang w:val="en-ZA"/>
              </w:rPr>
              <w:t xml:space="preserve"> structures and their authorities and relationships</w:t>
            </w:r>
          </w:p>
          <w:p w14:paraId="08471881"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Firm shareholders</w:t>
            </w:r>
          </w:p>
          <w:p w14:paraId="2A83BBD8" w14:textId="77777777" w:rsidR="00B71C76"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 xml:space="preserve">Network </w:t>
            </w:r>
            <w:r>
              <w:rPr>
                <w:rFonts w:ascii="Arial" w:eastAsia="Times New Roman" w:hAnsi="Arial" w:cs="Arial"/>
                <w:lang w:val="en-ZA"/>
              </w:rPr>
              <w:t xml:space="preserve">and associations and similar structures, </w:t>
            </w:r>
            <w:r w:rsidRPr="003D773B">
              <w:rPr>
                <w:rFonts w:ascii="Arial" w:eastAsia="Times New Roman" w:hAnsi="Arial" w:cs="Arial"/>
                <w:lang w:val="en-ZA"/>
              </w:rPr>
              <w:t>and how the firm ensures a consistent approach to audit quality from all members of the structure</w:t>
            </w:r>
          </w:p>
          <w:p w14:paraId="1ACA230A"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Process to appoint the firm’s leadership.</w:t>
            </w:r>
          </w:p>
          <w:p w14:paraId="57AEFABE" w14:textId="77777777" w:rsidR="00B71C76" w:rsidRPr="003D773B" w:rsidRDefault="00B71C76" w:rsidP="00B71C76">
            <w:pPr>
              <w:pStyle w:val="ListParagraph"/>
              <w:numPr>
                <w:ilvl w:val="0"/>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Human Capital</w:t>
            </w:r>
            <w:r w:rsidRPr="003D773B">
              <w:rPr>
                <w:rFonts w:ascii="Arial" w:eastAsia="Times New Roman" w:hAnsi="Arial" w:cs="Arial"/>
                <w:lang w:val="en-ZA"/>
              </w:rPr>
              <w:t>:</w:t>
            </w:r>
          </w:p>
          <w:p w14:paraId="6ED62921" w14:textId="77777777" w:rsidR="00B71C76"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Selection, recruitment and retention</w:t>
            </w:r>
          </w:p>
          <w:p w14:paraId="28F4DC96"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The approach and goals of c</w:t>
            </w:r>
            <w:r w:rsidRPr="003D773B">
              <w:rPr>
                <w:rFonts w:ascii="Arial" w:eastAsia="Times New Roman" w:hAnsi="Arial" w:cs="Arial"/>
                <w:lang w:val="en-ZA"/>
              </w:rPr>
              <w:t xml:space="preserve">ontinuing professional education </w:t>
            </w:r>
          </w:p>
          <w:p w14:paraId="54BF3B3C"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 xml:space="preserve">Policy concerning the rotation of key audit partners and </w:t>
            </w:r>
            <w:r>
              <w:rPr>
                <w:rFonts w:ascii="Arial" w:eastAsia="Times New Roman" w:hAnsi="Arial" w:cs="Arial"/>
                <w:lang w:val="en-ZA"/>
              </w:rPr>
              <w:t xml:space="preserve">where relevant </w:t>
            </w:r>
            <w:r w:rsidRPr="003D773B">
              <w:rPr>
                <w:rFonts w:ascii="Arial" w:eastAsia="Times New Roman" w:hAnsi="Arial" w:cs="Arial"/>
                <w:lang w:val="en-ZA"/>
              </w:rPr>
              <w:t>staff</w:t>
            </w:r>
          </w:p>
          <w:p w14:paraId="47505758"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Independence practices</w:t>
            </w:r>
          </w:p>
          <w:p w14:paraId="7033B00B"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Basis for remuneration of partners or directors</w:t>
            </w:r>
          </w:p>
          <w:p w14:paraId="09F5977A" w14:textId="77777777" w:rsidR="00B71C76"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Basis of i</w:t>
            </w:r>
            <w:r w:rsidRPr="003D773B">
              <w:rPr>
                <w:rFonts w:ascii="Arial" w:eastAsia="Times New Roman" w:hAnsi="Arial" w:cs="Arial"/>
                <w:lang w:val="en-ZA"/>
              </w:rPr>
              <w:t>ncentives and remuneration in relation to KPIs</w:t>
            </w:r>
          </w:p>
          <w:p w14:paraId="2DC0D201"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Transformation policies and statistics</w:t>
            </w:r>
          </w:p>
          <w:p w14:paraId="59452A0F" w14:textId="77777777" w:rsidR="00B71C76" w:rsidRPr="003D773B" w:rsidRDefault="00B71C76" w:rsidP="00B71C76">
            <w:pPr>
              <w:pStyle w:val="ListParagraph"/>
              <w:numPr>
                <w:ilvl w:val="0"/>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Engagement related information:</w:t>
            </w:r>
          </w:p>
          <w:p w14:paraId="4D6B560B" w14:textId="77777777" w:rsidR="00B71C76"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The firms approach to client acceptance and retention and how related risks are addressed</w:t>
            </w:r>
          </w:p>
          <w:p w14:paraId="29D0C09C"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Identification of</w:t>
            </w:r>
            <w:r w:rsidRPr="003D773B">
              <w:rPr>
                <w:rFonts w:ascii="Arial" w:eastAsia="Times New Roman" w:hAnsi="Arial" w:cs="Arial"/>
                <w:lang w:val="en-ZA"/>
              </w:rPr>
              <w:t xml:space="preserve"> PIEs for which the firm has carried out statutory audit</w:t>
            </w:r>
            <w:r>
              <w:rPr>
                <w:rFonts w:ascii="Arial" w:eastAsia="Times New Roman" w:hAnsi="Arial" w:cs="Arial"/>
                <w:lang w:val="en-ZA"/>
              </w:rPr>
              <w:t>s</w:t>
            </w:r>
          </w:p>
          <w:p w14:paraId="4879E7A1" w14:textId="77777777" w:rsidR="00B71C76" w:rsidRPr="000D5D1D"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fr-FR"/>
              </w:rPr>
            </w:pPr>
            <w:r w:rsidRPr="000D5D1D">
              <w:rPr>
                <w:rFonts w:ascii="Arial" w:eastAsia="Times New Roman" w:hAnsi="Arial" w:cs="Arial"/>
                <w:lang w:val="fr-FR"/>
              </w:rPr>
              <w:lastRenderedPageBreak/>
              <w:t>Fees</w:t>
            </w:r>
            <w:r>
              <w:rPr>
                <w:rFonts w:ascii="Arial" w:eastAsia="Times New Roman" w:hAnsi="Arial" w:cs="Arial"/>
                <w:lang w:val="fr-FR"/>
              </w:rPr>
              <w:t xml:space="preserve"> earned</w:t>
            </w:r>
            <w:r w:rsidRPr="000D5D1D">
              <w:rPr>
                <w:rFonts w:ascii="Arial" w:eastAsia="Times New Roman" w:hAnsi="Arial" w:cs="Arial"/>
                <w:lang w:val="fr-FR"/>
              </w:rPr>
              <w:t xml:space="preserve"> from PIE engagements versus non-PIE engagements</w:t>
            </w:r>
            <w:r>
              <w:rPr>
                <w:rFonts w:ascii="Arial" w:eastAsia="Times New Roman" w:hAnsi="Arial" w:cs="Arial"/>
                <w:lang w:val="fr-FR"/>
              </w:rPr>
              <w:t xml:space="preserve"> and their relationship to fees earned from non-assurance services</w:t>
            </w:r>
          </w:p>
          <w:p w14:paraId="07B7E5DB" w14:textId="77777777" w:rsidR="00B71C76" w:rsidRPr="00E44632" w:rsidRDefault="00B71C76" w:rsidP="00B71C76">
            <w:pPr>
              <w:pStyle w:val="ListParagraph"/>
              <w:numPr>
                <w:ilvl w:val="1"/>
                <w:numId w:val="1"/>
              </w:numPr>
              <w:autoSpaceDE w:val="0"/>
              <w:autoSpaceDN w:val="0"/>
              <w:adjustRightInd w:val="0"/>
              <w:spacing w:after="120" w:line="276" w:lineRule="auto"/>
              <w:jc w:val="both"/>
              <w:rPr>
                <w:rFonts w:ascii="Arial" w:hAnsi="Arial" w:cs="Arial"/>
                <w:lang w:val="en-ZA"/>
              </w:rPr>
            </w:pPr>
            <w:r w:rsidRPr="003D773B">
              <w:rPr>
                <w:rFonts w:ascii="Arial" w:eastAsia="Times New Roman" w:hAnsi="Arial" w:cs="Arial"/>
                <w:lang w:val="en-ZA"/>
              </w:rPr>
              <w:t xml:space="preserve">Information about the non-audit services provided as well as the controls in place to ensure </w:t>
            </w:r>
            <w:r>
              <w:rPr>
                <w:rFonts w:ascii="Arial" w:eastAsia="Times New Roman" w:hAnsi="Arial" w:cs="Arial"/>
                <w:lang w:val="en-ZA"/>
              </w:rPr>
              <w:t xml:space="preserve">the </w:t>
            </w:r>
            <w:r w:rsidRPr="003D773B">
              <w:rPr>
                <w:rFonts w:ascii="Arial" w:eastAsia="Times New Roman" w:hAnsi="Arial" w:cs="Arial"/>
                <w:lang w:val="en-ZA"/>
              </w:rPr>
              <w:t>independence of the assurance functions</w:t>
            </w:r>
          </w:p>
          <w:p w14:paraId="34F9B848"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Technology and its impact on audit</w:t>
            </w:r>
          </w:p>
          <w:p w14:paraId="6B1F850F" w14:textId="77777777" w:rsidR="00B71C76" w:rsidRPr="003D773B" w:rsidRDefault="00B71C76" w:rsidP="00B71C76">
            <w:pPr>
              <w:pStyle w:val="ListParagraph"/>
              <w:numPr>
                <w:ilvl w:val="0"/>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Quality management:</w:t>
            </w:r>
          </w:p>
          <w:p w14:paraId="334087A9"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Measures to foster audit quality, and quality monitoring and remedia</w:t>
            </w:r>
            <w:r>
              <w:rPr>
                <w:rFonts w:ascii="Arial" w:eastAsia="Times New Roman" w:hAnsi="Arial" w:cs="Arial"/>
                <w:lang w:val="en-ZA"/>
              </w:rPr>
              <w:t>tion</w:t>
            </w:r>
            <w:r w:rsidRPr="003D773B">
              <w:rPr>
                <w:rFonts w:ascii="Arial" w:eastAsia="Times New Roman" w:hAnsi="Arial" w:cs="Arial"/>
                <w:lang w:val="en-ZA"/>
              </w:rPr>
              <w:t xml:space="preserve"> systems </w:t>
            </w:r>
          </w:p>
          <w:p w14:paraId="4DA137EF"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 xml:space="preserve">External </w:t>
            </w:r>
            <w:r>
              <w:rPr>
                <w:rFonts w:ascii="Arial" w:eastAsia="Times New Roman" w:hAnsi="Arial" w:cs="Arial"/>
                <w:lang w:val="en-ZA"/>
              </w:rPr>
              <w:t>inspection and monitoring</w:t>
            </w:r>
            <w:r w:rsidRPr="003D773B">
              <w:rPr>
                <w:rFonts w:ascii="Arial" w:eastAsia="Times New Roman" w:hAnsi="Arial" w:cs="Arial"/>
                <w:lang w:val="en-ZA"/>
              </w:rPr>
              <w:t xml:space="preserve"> results</w:t>
            </w:r>
          </w:p>
          <w:p w14:paraId="3CEBA7FD"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Internal monitoring results</w:t>
            </w:r>
          </w:p>
          <w:p w14:paraId="3798586C"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Information about the risk environment and the measures implemented to address these</w:t>
            </w:r>
          </w:p>
          <w:p w14:paraId="6A84F3F5"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Results of r</w:t>
            </w:r>
            <w:r w:rsidRPr="003D773B">
              <w:rPr>
                <w:rFonts w:ascii="Arial" w:eastAsia="Times New Roman" w:hAnsi="Arial" w:cs="Arial"/>
                <w:lang w:val="en-ZA"/>
              </w:rPr>
              <w:t>oot cause analysis on internal and external review findings</w:t>
            </w:r>
          </w:p>
          <w:p w14:paraId="098FFE36" w14:textId="77777777" w:rsidR="00B71C76" w:rsidRPr="003D773B" w:rsidRDefault="00B71C76"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sidRPr="003D773B">
              <w:rPr>
                <w:rFonts w:ascii="Arial" w:eastAsia="Times New Roman" w:hAnsi="Arial" w:cs="Arial"/>
                <w:lang w:val="en-ZA"/>
              </w:rPr>
              <w:t xml:space="preserve">Reporting on performance against key performance indicators for assessing the effectiveness of quality control processes </w:t>
            </w:r>
          </w:p>
          <w:p w14:paraId="741808EC" w14:textId="3CD7883E" w:rsidR="00B71C76" w:rsidRDefault="00256587" w:rsidP="00B71C76">
            <w:pPr>
              <w:pStyle w:val="ListParagraph"/>
              <w:numPr>
                <w:ilvl w:val="1"/>
                <w:numId w:val="1"/>
              </w:numPr>
              <w:autoSpaceDE w:val="0"/>
              <w:autoSpaceDN w:val="0"/>
              <w:adjustRightInd w:val="0"/>
              <w:spacing w:after="120" w:line="276" w:lineRule="auto"/>
              <w:jc w:val="both"/>
              <w:rPr>
                <w:rFonts w:ascii="Arial" w:eastAsia="Times New Roman" w:hAnsi="Arial" w:cs="Arial"/>
                <w:lang w:val="en-ZA"/>
              </w:rPr>
            </w:pPr>
            <w:r>
              <w:rPr>
                <w:rFonts w:ascii="Arial" w:eastAsia="Times New Roman" w:hAnsi="Arial" w:cs="Arial"/>
                <w:lang w:val="en-ZA"/>
              </w:rPr>
              <w:t>The firm'</w:t>
            </w:r>
            <w:r w:rsidR="00B71C76" w:rsidRPr="003D773B">
              <w:rPr>
                <w:rFonts w:ascii="Arial" w:eastAsia="Times New Roman" w:hAnsi="Arial" w:cs="Arial"/>
                <w:lang w:val="en-ZA"/>
              </w:rPr>
              <w:t xml:space="preserve">s audit quality indicators (AQIs) </w:t>
            </w:r>
          </w:p>
          <w:p w14:paraId="591B457C" w14:textId="77777777" w:rsidR="00B71C76" w:rsidRPr="001B064C" w:rsidRDefault="00B71C76" w:rsidP="00B71C76">
            <w:pPr>
              <w:autoSpaceDE w:val="0"/>
              <w:autoSpaceDN w:val="0"/>
              <w:adjustRightInd w:val="0"/>
              <w:spacing w:after="120" w:line="276" w:lineRule="auto"/>
              <w:jc w:val="both"/>
              <w:rPr>
                <w:rFonts w:ascii="Arial" w:hAnsi="Arial" w:cs="Arial"/>
                <w:sz w:val="22"/>
                <w:szCs w:val="22"/>
                <w:lang w:val="en-ZA"/>
              </w:rPr>
            </w:pPr>
            <w:r w:rsidRPr="001B064C">
              <w:rPr>
                <w:rFonts w:ascii="Arial" w:hAnsi="Arial" w:cs="Arial"/>
                <w:sz w:val="22"/>
                <w:szCs w:val="22"/>
                <w:lang w:val="en-ZA"/>
              </w:rPr>
              <w:br/>
              <w:t>The IRBA is undertaking a separate project on AQIs. AQIs are qualitative or quantitative measures of audit quality that allow stakeholders to assess these indicators year-on-year internally, across engagements and across firms. Six of the largest audit firms in the UK voluntarily disclose AQIs.</w:t>
            </w:r>
          </w:p>
          <w:p w14:paraId="06459AB7" w14:textId="77777777" w:rsidR="00B71C76" w:rsidRPr="005D521E" w:rsidRDefault="00B71C76" w:rsidP="00B71C76">
            <w:pPr>
              <w:autoSpaceDE w:val="0"/>
              <w:autoSpaceDN w:val="0"/>
              <w:adjustRightInd w:val="0"/>
              <w:spacing w:after="120" w:line="276" w:lineRule="auto"/>
              <w:jc w:val="both"/>
              <w:rPr>
                <w:rFonts w:ascii="Arial" w:hAnsi="Arial" w:cs="Arial"/>
                <w:sz w:val="22"/>
                <w:szCs w:val="22"/>
                <w:lang w:val="en-ZA"/>
              </w:rPr>
            </w:pPr>
            <w:r w:rsidRPr="003D773B">
              <w:rPr>
                <w:rFonts w:ascii="Arial" w:hAnsi="Arial" w:cs="Arial"/>
                <w:sz w:val="22"/>
                <w:szCs w:val="22"/>
                <w:lang w:val="en-ZA"/>
              </w:rPr>
              <w:t xml:space="preserve">Although still to be </w:t>
            </w:r>
            <w:r>
              <w:rPr>
                <w:rFonts w:ascii="Arial" w:hAnsi="Arial" w:cs="Arial"/>
                <w:sz w:val="22"/>
                <w:szCs w:val="22"/>
                <w:lang w:val="en-ZA"/>
              </w:rPr>
              <w:t>prescribed</w:t>
            </w:r>
            <w:r w:rsidRPr="003D773B">
              <w:rPr>
                <w:rFonts w:ascii="Arial" w:hAnsi="Arial" w:cs="Arial"/>
                <w:sz w:val="22"/>
                <w:szCs w:val="22"/>
                <w:lang w:val="en-ZA"/>
              </w:rPr>
              <w:t xml:space="preserve"> in South Africa, firms are encouraged to voluntarily issue transparency </w:t>
            </w:r>
            <w:r w:rsidRPr="005D521E">
              <w:rPr>
                <w:rFonts w:ascii="Arial" w:hAnsi="Arial" w:cs="Arial"/>
                <w:sz w:val="22"/>
                <w:szCs w:val="22"/>
                <w:lang w:val="en-ZA"/>
              </w:rPr>
              <w:t>reports for their South African activities. This early practice will encourage the maturing of systems, and learning ahead of regulation.</w:t>
            </w:r>
          </w:p>
          <w:p w14:paraId="374D0AD7" w14:textId="77777777" w:rsidR="00B71C76" w:rsidRPr="00256587" w:rsidRDefault="00B71C76" w:rsidP="00B71C76">
            <w:pPr>
              <w:autoSpaceDE w:val="0"/>
              <w:autoSpaceDN w:val="0"/>
              <w:adjustRightInd w:val="0"/>
              <w:spacing w:after="120" w:line="276" w:lineRule="auto"/>
              <w:jc w:val="both"/>
              <w:rPr>
                <w:rFonts w:ascii="Arial" w:hAnsi="Arial" w:cs="Arial"/>
                <w:sz w:val="22"/>
                <w:szCs w:val="22"/>
                <w:lang w:val="en-ZA"/>
              </w:rPr>
            </w:pPr>
            <w:r w:rsidRPr="00256587">
              <w:rPr>
                <w:rFonts w:ascii="Arial" w:hAnsi="Arial" w:cs="Arial"/>
                <w:sz w:val="22"/>
                <w:szCs w:val="22"/>
                <w:lang w:val="en-ZA"/>
              </w:rPr>
              <w:t xml:space="preserve">The IRBA has prepared a </w:t>
            </w:r>
            <w:hyperlink r:id="rId7" w:history="1">
              <w:r w:rsidRPr="00256587">
                <w:rPr>
                  <w:rStyle w:val="Hyperlink"/>
                  <w:rFonts w:ascii="Arial" w:hAnsi="Arial" w:cs="Arial"/>
                  <w:sz w:val="22"/>
                  <w:szCs w:val="22"/>
                  <w:lang w:val="en-ZA"/>
                </w:rPr>
                <w:t>central res</w:t>
              </w:r>
              <w:r w:rsidRPr="00256587">
                <w:rPr>
                  <w:rStyle w:val="Hyperlink"/>
                  <w:rFonts w:ascii="Arial" w:hAnsi="Arial" w:cs="Arial"/>
                  <w:sz w:val="22"/>
                  <w:szCs w:val="22"/>
                  <w:lang w:val="en-ZA"/>
                </w:rPr>
                <w:t>o</w:t>
              </w:r>
              <w:r w:rsidRPr="00256587">
                <w:rPr>
                  <w:rStyle w:val="Hyperlink"/>
                  <w:rFonts w:ascii="Arial" w:hAnsi="Arial" w:cs="Arial"/>
                  <w:sz w:val="22"/>
                  <w:szCs w:val="22"/>
                  <w:lang w:val="en-ZA"/>
                </w:rPr>
                <w:t>urce</w:t>
              </w:r>
            </w:hyperlink>
            <w:r w:rsidRPr="00256587">
              <w:rPr>
                <w:rFonts w:ascii="Arial" w:hAnsi="Arial" w:cs="Arial"/>
                <w:sz w:val="22"/>
                <w:szCs w:val="22"/>
                <w:lang w:val="en-ZA"/>
              </w:rPr>
              <w:t xml:space="preserve"> of examples of transparency reports, guidance or other information currently available regarding transparency reports. </w:t>
            </w:r>
          </w:p>
          <w:p w14:paraId="21A5A1F7" w14:textId="77777777" w:rsidR="00B71C76" w:rsidRPr="00256587" w:rsidRDefault="00B71C76" w:rsidP="00B71C76">
            <w:pPr>
              <w:pStyle w:val="NormalWeb"/>
              <w:spacing w:before="0" w:beforeAutospacing="0" w:after="120" w:afterAutospacing="0" w:line="276" w:lineRule="auto"/>
              <w:jc w:val="both"/>
              <w:rPr>
                <w:rFonts w:ascii="Arial" w:hAnsi="Arial" w:cs="Arial"/>
                <w:sz w:val="22"/>
                <w:szCs w:val="22"/>
                <w:lang w:val="en-ZA"/>
              </w:rPr>
            </w:pPr>
            <w:r w:rsidRPr="00256587">
              <w:rPr>
                <w:rFonts w:ascii="Arial" w:hAnsi="Arial" w:cs="Arial"/>
                <w:sz w:val="22"/>
                <w:szCs w:val="22"/>
                <w:lang w:val="en-ZA"/>
              </w:rPr>
              <w:t xml:space="preserve">Should you have any further queries, please do not hesitate to contact the Standards Department by email: </w:t>
            </w:r>
            <w:hyperlink r:id="rId8" w:history="1">
              <w:r w:rsidRPr="00256587">
                <w:rPr>
                  <w:rFonts w:ascii="Arial" w:hAnsi="Arial" w:cs="Arial"/>
                  <w:color w:val="3300CC"/>
                  <w:sz w:val="22"/>
                  <w:szCs w:val="22"/>
                  <w:u w:val="single"/>
                  <w:lang w:val="en-ZA"/>
                </w:rPr>
                <w:t>standards@irba.co.za</w:t>
              </w:r>
            </w:hyperlink>
            <w:r w:rsidRPr="00256587">
              <w:rPr>
                <w:rFonts w:ascii="Arial" w:hAnsi="Arial" w:cs="Arial"/>
                <w:sz w:val="22"/>
                <w:szCs w:val="22"/>
                <w:lang w:val="en-ZA"/>
              </w:rPr>
              <w:t>.</w:t>
            </w:r>
          </w:p>
          <w:p w14:paraId="6A433B9F" w14:textId="77777777" w:rsidR="00B71C76" w:rsidRPr="003D773B" w:rsidRDefault="00B71C76" w:rsidP="00B71C76">
            <w:pPr>
              <w:spacing w:after="120" w:line="276" w:lineRule="auto"/>
              <w:jc w:val="both"/>
              <w:textAlignment w:val="top"/>
              <w:rPr>
                <w:rFonts w:ascii="Arial" w:hAnsi="Arial" w:cs="Arial"/>
                <w:b/>
                <w:sz w:val="22"/>
                <w:szCs w:val="22"/>
                <w:lang w:val="en-ZA"/>
              </w:rPr>
            </w:pPr>
          </w:p>
          <w:p w14:paraId="30533A20" w14:textId="77777777" w:rsidR="00B71C76" w:rsidRPr="003D773B" w:rsidRDefault="00B71C76" w:rsidP="00B71C76">
            <w:pPr>
              <w:spacing w:after="120" w:line="276" w:lineRule="auto"/>
              <w:jc w:val="both"/>
              <w:textAlignment w:val="top"/>
              <w:rPr>
                <w:rFonts w:ascii="Arial" w:hAnsi="Arial" w:cs="Arial"/>
                <w:b/>
                <w:sz w:val="22"/>
                <w:szCs w:val="22"/>
                <w:lang w:val="en-ZA"/>
              </w:rPr>
            </w:pPr>
          </w:p>
          <w:p w14:paraId="03E99EAB" w14:textId="77777777" w:rsidR="00B71C76" w:rsidRPr="003D773B" w:rsidRDefault="00B71C76" w:rsidP="00B71C76">
            <w:pPr>
              <w:spacing w:after="120" w:line="276" w:lineRule="auto"/>
              <w:jc w:val="both"/>
              <w:textAlignment w:val="top"/>
              <w:rPr>
                <w:rFonts w:ascii="Arial" w:hAnsi="Arial" w:cs="Arial"/>
                <w:b/>
                <w:sz w:val="22"/>
                <w:szCs w:val="22"/>
                <w:lang w:val="en-ZA"/>
              </w:rPr>
            </w:pPr>
          </w:p>
          <w:p w14:paraId="3478ACB6" w14:textId="77777777" w:rsidR="00B71C76" w:rsidRPr="003D773B" w:rsidRDefault="00B71C76" w:rsidP="00B71C76">
            <w:pPr>
              <w:spacing w:after="120" w:line="276" w:lineRule="auto"/>
              <w:jc w:val="both"/>
              <w:textAlignment w:val="top"/>
              <w:rPr>
                <w:rFonts w:ascii="Arial" w:hAnsi="Arial" w:cs="Arial"/>
                <w:b/>
                <w:sz w:val="22"/>
                <w:szCs w:val="22"/>
                <w:lang w:val="en-ZA"/>
              </w:rPr>
            </w:pPr>
            <w:r w:rsidRPr="003D773B">
              <w:rPr>
                <w:rFonts w:ascii="Arial" w:hAnsi="Arial" w:cs="Arial"/>
                <w:b/>
                <w:sz w:val="22"/>
                <w:szCs w:val="22"/>
                <w:lang w:val="en-ZA"/>
              </w:rPr>
              <w:t>Imran Vanker</w:t>
            </w:r>
          </w:p>
          <w:p w14:paraId="14868A80" w14:textId="77777777" w:rsidR="00B71C76" w:rsidRPr="003D773B" w:rsidRDefault="00B71C76" w:rsidP="00B71C76">
            <w:pPr>
              <w:spacing w:after="120" w:line="276" w:lineRule="auto"/>
              <w:jc w:val="both"/>
              <w:rPr>
                <w:rFonts w:ascii="Arial" w:hAnsi="Arial" w:cs="Arial"/>
                <w:b/>
                <w:sz w:val="22"/>
                <w:szCs w:val="22"/>
                <w:lang w:val="en-ZA"/>
              </w:rPr>
            </w:pPr>
            <w:r w:rsidRPr="003D773B">
              <w:rPr>
                <w:rFonts w:ascii="Arial" w:hAnsi="Arial" w:cs="Arial"/>
                <w:b/>
                <w:sz w:val="22"/>
                <w:szCs w:val="22"/>
                <w:lang w:val="en-ZA"/>
              </w:rPr>
              <w:t>Director: Standards</w:t>
            </w:r>
          </w:p>
          <w:p w14:paraId="087C15D0" w14:textId="77777777" w:rsidR="00B71C76" w:rsidRPr="003D773B" w:rsidRDefault="00B71C76" w:rsidP="00B71C76">
            <w:pPr>
              <w:spacing w:after="120" w:line="276" w:lineRule="auto"/>
              <w:jc w:val="both"/>
              <w:rPr>
                <w:rFonts w:ascii="Arial" w:hAnsi="Arial" w:cs="Arial"/>
                <w:b/>
                <w:i/>
                <w:noProof/>
                <w:sz w:val="20"/>
                <w:szCs w:val="20"/>
                <w:lang w:val="en-ZA"/>
              </w:rPr>
            </w:pPr>
          </w:p>
          <w:p w14:paraId="1B5D80B7" w14:textId="77777777" w:rsidR="00B71C76" w:rsidRPr="003D773B" w:rsidRDefault="00B71C76" w:rsidP="00B71C76">
            <w:pPr>
              <w:spacing w:after="120" w:line="276" w:lineRule="auto"/>
              <w:jc w:val="both"/>
              <w:rPr>
                <w:rFonts w:ascii="Arial" w:hAnsi="Arial" w:cs="Arial"/>
                <w:b/>
                <w:i/>
                <w:noProof/>
                <w:sz w:val="20"/>
                <w:szCs w:val="20"/>
                <w:lang w:val="en-ZA"/>
              </w:rPr>
            </w:pPr>
            <w:r w:rsidRPr="003D773B">
              <w:rPr>
                <w:rFonts w:ascii="Arial" w:hAnsi="Arial" w:cs="Arial"/>
                <w:b/>
                <w:i/>
                <w:noProof/>
                <w:sz w:val="20"/>
                <w:szCs w:val="20"/>
                <w:lang w:val="en-ZA"/>
              </w:rPr>
              <w:t>About the IRBA</w:t>
            </w:r>
          </w:p>
          <w:p w14:paraId="20EB1D53" w14:textId="3B6DCBB1" w:rsidR="00AD07C9" w:rsidRPr="00B71C76" w:rsidRDefault="00B71C76" w:rsidP="003D773B">
            <w:pPr>
              <w:spacing w:after="120" w:line="276" w:lineRule="auto"/>
              <w:jc w:val="both"/>
              <w:rPr>
                <w:rFonts w:ascii="Arial" w:hAnsi="Arial" w:cs="Arial"/>
                <w:sz w:val="20"/>
                <w:szCs w:val="20"/>
                <w:lang w:val="en-ZA"/>
              </w:rPr>
            </w:pPr>
            <w:r w:rsidRPr="003D773B">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bookmarkStart w:id="0" w:name="_GoBack"/>
            <w:bookmarkEnd w:id="0"/>
          </w:p>
        </w:tc>
      </w:tr>
    </w:tbl>
    <w:p w14:paraId="7EC3DD48" w14:textId="77777777" w:rsidR="00AD07C9" w:rsidRDefault="00AD07C9" w:rsidP="00B71C76">
      <w:pPr>
        <w:spacing w:after="120" w:line="276" w:lineRule="auto"/>
        <w:jc w:val="both"/>
        <w:rPr>
          <w:rFonts w:ascii="Arial" w:hAnsi="Arial" w:cs="Arial"/>
          <w:lang w:val="en-ZA"/>
        </w:rPr>
      </w:pPr>
    </w:p>
    <w:sectPr w:rsidR="00AD07C9"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68B2B" w14:textId="77777777" w:rsidR="005C55E3" w:rsidRDefault="005C55E3" w:rsidP="001E5D02">
      <w:r>
        <w:separator/>
      </w:r>
    </w:p>
  </w:endnote>
  <w:endnote w:type="continuationSeparator" w:id="0">
    <w:p w14:paraId="4F74D1FC" w14:textId="77777777" w:rsidR="005C55E3" w:rsidRDefault="005C55E3" w:rsidP="001E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6121B" w14:textId="77777777" w:rsidR="005C55E3" w:rsidRDefault="005C55E3" w:rsidP="001E5D02">
      <w:r>
        <w:separator/>
      </w:r>
    </w:p>
  </w:footnote>
  <w:footnote w:type="continuationSeparator" w:id="0">
    <w:p w14:paraId="3FB9B728" w14:textId="77777777" w:rsidR="005C55E3" w:rsidRDefault="005C55E3" w:rsidP="001E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5E12CF"/>
    <w:multiLevelType w:val="hybridMultilevel"/>
    <w:tmpl w:val="A166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C127E7"/>
    <w:multiLevelType w:val="hybridMultilevel"/>
    <w:tmpl w:val="18EA1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3D4195C"/>
    <w:multiLevelType w:val="hybridMultilevel"/>
    <w:tmpl w:val="3D40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139A1"/>
    <w:multiLevelType w:val="hybridMultilevel"/>
    <w:tmpl w:val="382C3EEA"/>
    <w:lvl w:ilvl="0" w:tplc="25FC92F4">
      <w:start w:val="1"/>
      <w:numFmt w:val="lowerLetter"/>
      <w:lvlText w:val="(%1)"/>
      <w:lvlJc w:val="left"/>
      <w:pPr>
        <w:ind w:left="1820" w:hanging="380"/>
        <w:jc w:val="left"/>
      </w:pPr>
      <w:rPr>
        <w:rFonts w:ascii="Arial" w:eastAsia="Arial" w:hAnsi="Arial" w:hint="default"/>
        <w:w w:val="86"/>
        <w:sz w:val="18"/>
        <w:szCs w:val="18"/>
      </w:rPr>
    </w:lvl>
    <w:lvl w:ilvl="1" w:tplc="2006D2DE">
      <w:start w:val="1"/>
      <w:numFmt w:val="lowerLetter"/>
      <w:lvlText w:val="(%2)"/>
      <w:lvlJc w:val="left"/>
      <w:pPr>
        <w:ind w:left="2180" w:hanging="380"/>
        <w:jc w:val="left"/>
      </w:pPr>
      <w:rPr>
        <w:rFonts w:ascii="Arial" w:eastAsia="Arial" w:hAnsi="Arial" w:hint="default"/>
        <w:w w:val="86"/>
        <w:sz w:val="18"/>
        <w:szCs w:val="18"/>
      </w:rPr>
    </w:lvl>
    <w:lvl w:ilvl="2" w:tplc="477E04F6">
      <w:start w:val="1"/>
      <w:numFmt w:val="bullet"/>
      <w:lvlText w:val="•"/>
      <w:lvlJc w:val="left"/>
      <w:pPr>
        <w:ind w:left="2379" w:hanging="180"/>
      </w:pPr>
      <w:rPr>
        <w:rFonts w:ascii="Arial" w:eastAsia="Arial" w:hAnsi="Arial" w:hint="default"/>
        <w:color w:val="005BAA"/>
        <w:w w:val="142"/>
        <w:sz w:val="18"/>
        <w:szCs w:val="18"/>
      </w:rPr>
    </w:lvl>
    <w:lvl w:ilvl="3" w:tplc="8C681026">
      <w:start w:val="1"/>
      <w:numFmt w:val="bullet"/>
      <w:lvlText w:val="•"/>
      <w:lvlJc w:val="left"/>
      <w:pPr>
        <w:ind w:left="3519" w:hanging="180"/>
      </w:pPr>
      <w:rPr>
        <w:rFonts w:hint="default"/>
      </w:rPr>
    </w:lvl>
    <w:lvl w:ilvl="4" w:tplc="FFE209AC">
      <w:start w:val="1"/>
      <w:numFmt w:val="bullet"/>
      <w:lvlText w:val="•"/>
      <w:lvlJc w:val="left"/>
      <w:pPr>
        <w:ind w:left="4659" w:hanging="180"/>
      </w:pPr>
      <w:rPr>
        <w:rFonts w:hint="default"/>
      </w:rPr>
    </w:lvl>
    <w:lvl w:ilvl="5" w:tplc="9132BE86">
      <w:start w:val="1"/>
      <w:numFmt w:val="bullet"/>
      <w:lvlText w:val="•"/>
      <w:lvlJc w:val="left"/>
      <w:pPr>
        <w:ind w:left="5799" w:hanging="180"/>
      </w:pPr>
      <w:rPr>
        <w:rFonts w:hint="default"/>
      </w:rPr>
    </w:lvl>
    <w:lvl w:ilvl="6" w:tplc="A6E675FA">
      <w:start w:val="1"/>
      <w:numFmt w:val="bullet"/>
      <w:lvlText w:val="•"/>
      <w:lvlJc w:val="left"/>
      <w:pPr>
        <w:ind w:left="6940" w:hanging="180"/>
      </w:pPr>
      <w:rPr>
        <w:rFonts w:hint="default"/>
      </w:rPr>
    </w:lvl>
    <w:lvl w:ilvl="7" w:tplc="51940C7A">
      <w:start w:val="1"/>
      <w:numFmt w:val="bullet"/>
      <w:lvlText w:val="•"/>
      <w:lvlJc w:val="left"/>
      <w:pPr>
        <w:ind w:left="8080" w:hanging="180"/>
      </w:pPr>
      <w:rPr>
        <w:rFonts w:hint="default"/>
      </w:rPr>
    </w:lvl>
    <w:lvl w:ilvl="8" w:tplc="1A0A4B36">
      <w:start w:val="1"/>
      <w:numFmt w:val="bullet"/>
      <w:lvlText w:val="•"/>
      <w:lvlJc w:val="left"/>
      <w:pPr>
        <w:ind w:left="9220" w:hanging="18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54B11"/>
    <w:rsid w:val="000B40C8"/>
    <w:rsid w:val="000D5D1D"/>
    <w:rsid w:val="00136FBD"/>
    <w:rsid w:val="0017561A"/>
    <w:rsid w:val="00197495"/>
    <w:rsid w:val="001A157B"/>
    <w:rsid w:val="001B064C"/>
    <w:rsid w:val="001B1BB1"/>
    <w:rsid w:val="001E29A3"/>
    <w:rsid w:val="001E5D02"/>
    <w:rsid w:val="002222D0"/>
    <w:rsid w:val="00255056"/>
    <w:rsid w:val="00256587"/>
    <w:rsid w:val="0026757D"/>
    <w:rsid w:val="00272AFA"/>
    <w:rsid w:val="00287884"/>
    <w:rsid w:val="002A4176"/>
    <w:rsid w:val="002D2D4A"/>
    <w:rsid w:val="002E4D49"/>
    <w:rsid w:val="00315EE3"/>
    <w:rsid w:val="003D773B"/>
    <w:rsid w:val="003F33D6"/>
    <w:rsid w:val="003F3563"/>
    <w:rsid w:val="00442852"/>
    <w:rsid w:val="0045321E"/>
    <w:rsid w:val="00473A5B"/>
    <w:rsid w:val="00486E17"/>
    <w:rsid w:val="004B3AC3"/>
    <w:rsid w:val="004E1790"/>
    <w:rsid w:val="004F0AA7"/>
    <w:rsid w:val="00500D9D"/>
    <w:rsid w:val="00513971"/>
    <w:rsid w:val="00563B95"/>
    <w:rsid w:val="005A6E1B"/>
    <w:rsid w:val="005B4CF6"/>
    <w:rsid w:val="005B69EA"/>
    <w:rsid w:val="005C3EC4"/>
    <w:rsid w:val="005C55E3"/>
    <w:rsid w:val="005D521E"/>
    <w:rsid w:val="00683A95"/>
    <w:rsid w:val="006842A2"/>
    <w:rsid w:val="006A2A11"/>
    <w:rsid w:val="006E438C"/>
    <w:rsid w:val="007210C7"/>
    <w:rsid w:val="00740ABF"/>
    <w:rsid w:val="007625AA"/>
    <w:rsid w:val="00772F59"/>
    <w:rsid w:val="00790AA7"/>
    <w:rsid w:val="00794A42"/>
    <w:rsid w:val="00795541"/>
    <w:rsid w:val="007B329D"/>
    <w:rsid w:val="007D6AA4"/>
    <w:rsid w:val="008160F6"/>
    <w:rsid w:val="00830FCD"/>
    <w:rsid w:val="0088213D"/>
    <w:rsid w:val="008832C0"/>
    <w:rsid w:val="00884553"/>
    <w:rsid w:val="008D29D7"/>
    <w:rsid w:val="008D5597"/>
    <w:rsid w:val="008F4736"/>
    <w:rsid w:val="00916B78"/>
    <w:rsid w:val="009413CF"/>
    <w:rsid w:val="00981C35"/>
    <w:rsid w:val="00A06647"/>
    <w:rsid w:val="00A33E1E"/>
    <w:rsid w:val="00AB1CC1"/>
    <w:rsid w:val="00AC019B"/>
    <w:rsid w:val="00AD07C9"/>
    <w:rsid w:val="00B51059"/>
    <w:rsid w:val="00B71C76"/>
    <w:rsid w:val="00BC1BAF"/>
    <w:rsid w:val="00C362BC"/>
    <w:rsid w:val="00C71B4C"/>
    <w:rsid w:val="00CA4E0E"/>
    <w:rsid w:val="00D308A9"/>
    <w:rsid w:val="00D90763"/>
    <w:rsid w:val="00D9728A"/>
    <w:rsid w:val="00DA0002"/>
    <w:rsid w:val="00DA7CAB"/>
    <w:rsid w:val="00DC7410"/>
    <w:rsid w:val="00DE1ACD"/>
    <w:rsid w:val="00DE2087"/>
    <w:rsid w:val="00E21E39"/>
    <w:rsid w:val="00E24EF2"/>
    <w:rsid w:val="00E44632"/>
    <w:rsid w:val="00EA0BD6"/>
    <w:rsid w:val="00EA1600"/>
    <w:rsid w:val="00EC61F6"/>
    <w:rsid w:val="00EC65D5"/>
    <w:rsid w:val="00EF57A9"/>
    <w:rsid w:val="00F17CB3"/>
    <w:rsid w:val="00F76271"/>
    <w:rsid w:val="00F921E8"/>
    <w:rsid w:val="00FA24D0"/>
    <w:rsid w:val="00FA2772"/>
    <w:rsid w:val="00FC29E9"/>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1641A"/>
  <w15:docId w15:val="{552E4950-22DF-4FFE-9052-C0872FAF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customStyle="1" w:styleId="Default">
    <w:name w:val="Default"/>
    <w:rsid w:val="005B69EA"/>
    <w:pPr>
      <w:autoSpaceDE w:val="0"/>
      <w:autoSpaceDN w:val="0"/>
      <w:adjustRightInd w:val="0"/>
      <w:spacing w:after="0" w:line="240" w:lineRule="auto"/>
    </w:pPr>
    <w:rPr>
      <w:color w:val="000000"/>
      <w:sz w:val="24"/>
      <w:szCs w:val="24"/>
      <w:lang w:val="en-US"/>
    </w:rPr>
  </w:style>
  <w:style w:type="paragraph" w:styleId="ListParagraph">
    <w:name w:val="List Paragraph"/>
    <w:basedOn w:val="Normal"/>
    <w:uiPriority w:val="34"/>
    <w:qFormat/>
    <w:rsid w:val="0026757D"/>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442852"/>
    <w:rPr>
      <w:sz w:val="16"/>
      <w:szCs w:val="16"/>
    </w:rPr>
  </w:style>
  <w:style w:type="paragraph" w:styleId="CommentText">
    <w:name w:val="annotation text"/>
    <w:basedOn w:val="Normal"/>
    <w:link w:val="CommentTextChar"/>
    <w:uiPriority w:val="99"/>
    <w:semiHidden/>
    <w:unhideWhenUsed/>
    <w:rsid w:val="00442852"/>
    <w:pPr>
      <w:spacing w:after="200"/>
    </w:pPr>
    <w:rPr>
      <w:rFonts w:ascii="Arial" w:eastAsiaTheme="minorHAnsi" w:hAnsi="Arial" w:cs="Arial"/>
      <w:sz w:val="20"/>
      <w:szCs w:val="20"/>
      <w:lang w:val="en-ZA"/>
    </w:rPr>
  </w:style>
  <w:style w:type="character" w:customStyle="1" w:styleId="CommentTextChar">
    <w:name w:val="Comment Text Char"/>
    <w:basedOn w:val="DefaultParagraphFont"/>
    <w:link w:val="CommentText"/>
    <w:uiPriority w:val="99"/>
    <w:semiHidden/>
    <w:rsid w:val="00442852"/>
    <w:rPr>
      <w:sz w:val="20"/>
      <w:szCs w:val="20"/>
    </w:rPr>
  </w:style>
  <w:style w:type="paragraph" w:styleId="BalloonText">
    <w:name w:val="Balloon Text"/>
    <w:basedOn w:val="Normal"/>
    <w:link w:val="BalloonTextChar"/>
    <w:uiPriority w:val="99"/>
    <w:semiHidden/>
    <w:unhideWhenUsed/>
    <w:rsid w:val="00442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52"/>
    <w:rPr>
      <w:rFonts w:ascii="Segoe UI" w:eastAsia="Times New Roman" w:hAnsi="Segoe UI" w:cs="Segoe UI"/>
      <w:sz w:val="18"/>
      <w:szCs w:val="18"/>
      <w:lang w:val="en-US"/>
    </w:rPr>
  </w:style>
  <w:style w:type="paragraph" w:styleId="BodyText">
    <w:name w:val="Body Text"/>
    <w:basedOn w:val="Normal"/>
    <w:link w:val="BodyTextChar"/>
    <w:uiPriority w:val="1"/>
    <w:qFormat/>
    <w:rsid w:val="00DA7CAB"/>
    <w:pPr>
      <w:widowControl w:val="0"/>
      <w:ind w:left="1800"/>
    </w:pPr>
    <w:rPr>
      <w:rFonts w:ascii="Arial" w:eastAsia="Arial" w:hAnsi="Arial" w:cstheme="minorBidi"/>
      <w:sz w:val="18"/>
      <w:szCs w:val="18"/>
    </w:rPr>
  </w:style>
  <w:style w:type="character" w:customStyle="1" w:styleId="BodyTextChar">
    <w:name w:val="Body Text Char"/>
    <w:basedOn w:val="DefaultParagraphFont"/>
    <w:link w:val="BodyText"/>
    <w:uiPriority w:val="1"/>
    <w:rsid w:val="00DA7CAB"/>
    <w:rPr>
      <w:rFonts w:eastAsia="Arial" w:cstheme="minorBidi"/>
      <w:sz w:val="18"/>
      <w:szCs w:val="18"/>
      <w:lang w:val="en-US"/>
    </w:rPr>
  </w:style>
  <w:style w:type="paragraph" w:styleId="CommentSubject">
    <w:name w:val="annotation subject"/>
    <w:basedOn w:val="CommentText"/>
    <w:next w:val="CommentText"/>
    <w:link w:val="CommentSubjectChar"/>
    <w:uiPriority w:val="99"/>
    <w:semiHidden/>
    <w:unhideWhenUsed/>
    <w:rsid w:val="0017561A"/>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uiPriority w:val="99"/>
    <w:semiHidden/>
    <w:rsid w:val="0017561A"/>
    <w:rPr>
      <w:rFonts w:ascii="Times New Roman" w:eastAsia="Times New Roman" w:hAnsi="Times New Roman" w:cs="Times New Roman"/>
      <w:b/>
      <w:bCs/>
      <w:sz w:val="20"/>
      <w:szCs w:val="20"/>
      <w:lang w:val="en-US"/>
    </w:rPr>
  </w:style>
  <w:style w:type="paragraph" w:styleId="Revision">
    <w:name w:val="Revision"/>
    <w:hidden/>
    <w:uiPriority w:val="99"/>
    <w:semiHidden/>
    <w:rsid w:val="005A6E1B"/>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E5D02"/>
    <w:pPr>
      <w:tabs>
        <w:tab w:val="center" w:pos="4680"/>
        <w:tab w:val="right" w:pos="9360"/>
      </w:tabs>
    </w:pPr>
  </w:style>
  <w:style w:type="character" w:customStyle="1" w:styleId="HeaderChar">
    <w:name w:val="Header Char"/>
    <w:basedOn w:val="DefaultParagraphFont"/>
    <w:link w:val="Header"/>
    <w:uiPriority w:val="99"/>
    <w:rsid w:val="001E5D0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E5D02"/>
    <w:pPr>
      <w:tabs>
        <w:tab w:val="center" w:pos="4680"/>
        <w:tab w:val="right" w:pos="9360"/>
      </w:tabs>
    </w:pPr>
  </w:style>
  <w:style w:type="character" w:customStyle="1" w:styleId="FooterChar">
    <w:name w:val="Footer Char"/>
    <w:basedOn w:val="DefaultParagraphFont"/>
    <w:link w:val="Footer"/>
    <w:uiPriority w:val="99"/>
    <w:rsid w:val="001E5D02"/>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5321E"/>
    <w:rPr>
      <w:color w:val="808080"/>
      <w:shd w:val="clear" w:color="auto" w:fill="E6E6E6"/>
    </w:rPr>
  </w:style>
  <w:style w:type="character" w:styleId="FollowedHyperlink">
    <w:name w:val="FollowedHyperlink"/>
    <w:basedOn w:val="DefaultParagraphFont"/>
    <w:uiPriority w:val="99"/>
    <w:semiHidden/>
    <w:unhideWhenUsed/>
    <w:rsid w:val="005D521E"/>
    <w:rPr>
      <w:color w:val="800080" w:themeColor="followedHyperlink"/>
      <w:u w:val="single"/>
    </w:rPr>
  </w:style>
  <w:style w:type="table" w:styleId="TableGrid">
    <w:name w:val="Table Grid"/>
    <w:basedOn w:val="TableNormal"/>
    <w:uiPriority w:val="59"/>
    <w:rsid w:val="00AD0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569000">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s://www.irba.co.za/guidance-for-ras/technical-guidance-for-ras/transparency-reporting-and-audit-quality-indicators-aq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2018-07-27T10:58:00Z</dcterms:created>
  <dcterms:modified xsi:type="dcterms:W3CDTF">2018-07-27T11:11:00Z</dcterms:modified>
</cp:coreProperties>
</file>